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ABF8" w14:textId="77777777" w:rsidR="00314BF4" w:rsidRDefault="00314BF4" w:rsidP="00DC13F6">
      <w:pPr>
        <w:pStyle w:val="Overskrift1"/>
      </w:pPr>
    </w:p>
    <w:p w14:paraId="5183D3A5" w14:textId="291BFEE0" w:rsidR="0032160F" w:rsidRPr="000817D8" w:rsidRDefault="00123C9F" w:rsidP="00DC13F6">
      <w:pPr>
        <w:pStyle w:val="Overskrift1"/>
        <w:rPr>
          <w:rFonts w:ascii="Calibri" w:hAnsi="Calibri" w:cs="Calibri"/>
          <w:sz w:val="22"/>
          <w:szCs w:val="22"/>
        </w:rPr>
      </w:pPr>
      <w:r>
        <w:t xml:space="preserve">Økonomirapport </w:t>
      </w:r>
      <w:r w:rsidR="008C3214">
        <w:t xml:space="preserve">ØR3 2025 og </w:t>
      </w:r>
      <w:r>
        <w:t>Budget 202</w:t>
      </w:r>
      <w:r w:rsidR="008C3214">
        <w:t>6</w:t>
      </w:r>
      <w:r>
        <w:t>-2</w:t>
      </w:r>
      <w:r w:rsidR="008C3214">
        <w:t>9</w:t>
      </w:r>
    </w:p>
    <w:p w14:paraId="495B4A71" w14:textId="77777777" w:rsidR="0032160F" w:rsidRPr="000817D8" w:rsidRDefault="0032160F" w:rsidP="00DC13F6">
      <w:pPr>
        <w:ind w:left="-720" w:right="-648"/>
        <w:rPr>
          <w:rFonts w:ascii="Calibri" w:hAnsi="Calibri" w:cs="Calibri"/>
          <w:sz w:val="22"/>
          <w:szCs w:val="22"/>
        </w:rPr>
      </w:pPr>
    </w:p>
    <w:p w14:paraId="4E43A14C" w14:textId="77777777" w:rsidR="009A251C" w:rsidRDefault="009A251C" w:rsidP="00DC13F6">
      <w:pPr>
        <w:ind w:right="-468"/>
        <w:rPr>
          <w:rFonts w:ascii="Calibri" w:hAnsi="Calibri" w:cs="Calibri"/>
          <w:b/>
          <w:sz w:val="22"/>
          <w:szCs w:val="22"/>
        </w:rPr>
      </w:pPr>
    </w:p>
    <w:p w14:paraId="138FCF0F" w14:textId="77777777" w:rsidR="001712B2" w:rsidRPr="00FD1A7E" w:rsidRDefault="001712B2" w:rsidP="00DC13F6">
      <w:pPr>
        <w:ind w:right="-468"/>
        <w:rPr>
          <w:rFonts w:ascii="Calibri" w:hAnsi="Calibri" w:cs="Calibri"/>
          <w:b/>
          <w:sz w:val="22"/>
          <w:szCs w:val="22"/>
        </w:rPr>
      </w:pPr>
    </w:p>
    <w:p w14:paraId="0F071BE3" w14:textId="77777777" w:rsidR="00123C9F" w:rsidRPr="003B7BDA" w:rsidRDefault="00123C9F" w:rsidP="00DC13F6">
      <w:pPr>
        <w:rPr>
          <w:b/>
          <w:sz w:val="22"/>
          <w:szCs w:val="22"/>
        </w:rPr>
      </w:pPr>
      <w:r w:rsidRPr="003B7BDA">
        <w:rPr>
          <w:b/>
          <w:sz w:val="22"/>
          <w:szCs w:val="22"/>
        </w:rPr>
        <w:t>Kort om resultatet</w:t>
      </w:r>
    </w:p>
    <w:p w14:paraId="14B25D1F" w14:textId="735548AC" w:rsidR="007D0752" w:rsidRDefault="00EF0642" w:rsidP="00DC13F6">
      <w:pPr>
        <w:rPr>
          <w:rFonts w:ascii="Calibri" w:hAnsi="Calibri" w:cs="Calibri"/>
          <w:sz w:val="22"/>
          <w:szCs w:val="22"/>
        </w:rPr>
      </w:pPr>
      <w:r w:rsidRPr="007A031B">
        <w:rPr>
          <w:rFonts w:ascii="Calibri" w:hAnsi="Calibri" w:cs="Calibri"/>
          <w:sz w:val="22"/>
          <w:szCs w:val="22"/>
        </w:rPr>
        <w:t>Institut for Folkesundhed har for perioden 2026-2029 et budget i balance</w:t>
      </w:r>
      <w:r w:rsidR="00DC3ED0">
        <w:rPr>
          <w:rFonts w:ascii="Calibri" w:hAnsi="Calibri" w:cs="Calibri"/>
          <w:sz w:val="22"/>
          <w:szCs w:val="22"/>
        </w:rPr>
        <w:t xml:space="preserve"> under forudsætning af at instituttet overfører overskuddet i 2025 til dækning af underskuddet i 2026</w:t>
      </w:r>
      <w:r w:rsidRPr="007A031B">
        <w:rPr>
          <w:rFonts w:ascii="Calibri" w:hAnsi="Calibri" w:cs="Calibri"/>
          <w:sz w:val="22"/>
          <w:szCs w:val="22"/>
        </w:rPr>
        <w:t>. Ved udgangen af 2029 er der afsat 1 % til drift</w:t>
      </w:r>
      <w:r w:rsidR="00DD43A1" w:rsidRPr="007A031B">
        <w:rPr>
          <w:rFonts w:ascii="Calibri" w:hAnsi="Calibri" w:cs="Calibri"/>
          <w:sz w:val="22"/>
          <w:szCs w:val="22"/>
        </w:rPr>
        <w:t>s</w:t>
      </w:r>
      <w:r w:rsidRPr="007A031B">
        <w:rPr>
          <w:rFonts w:ascii="Calibri" w:hAnsi="Calibri" w:cs="Calibri"/>
          <w:sz w:val="22"/>
          <w:szCs w:val="22"/>
        </w:rPr>
        <w:t>reserv</w:t>
      </w:r>
      <w:r w:rsidR="00DD43A1" w:rsidRPr="007A031B">
        <w:rPr>
          <w:rFonts w:ascii="Calibri" w:hAnsi="Calibri" w:cs="Calibri"/>
          <w:sz w:val="22"/>
          <w:szCs w:val="22"/>
        </w:rPr>
        <w:t>e</w:t>
      </w:r>
      <w:r w:rsidR="00F331A7">
        <w:rPr>
          <w:rFonts w:ascii="Calibri" w:hAnsi="Calibri" w:cs="Calibri"/>
          <w:sz w:val="22"/>
          <w:szCs w:val="22"/>
        </w:rPr>
        <w:t>.</w:t>
      </w:r>
    </w:p>
    <w:p w14:paraId="2E81A872" w14:textId="77777777" w:rsidR="00F331A7" w:rsidRPr="00DD43A1" w:rsidRDefault="00F331A7" w:rsidP="00DC13F6">
      <w:pPr>
        <w:rPr>
          <w:rFonts w:ascii="Calibri" w:hAnsi="Calibri" w:cs="Calibri"/>
          <w:iCs/>
          <w:sz w:val="22"/>
          <w:szCs w:val="22"/>
        </w:rPr>
      </w:pPr>
    </w:p>
    <w:p w14:paraId="54D2A5FD" w14:textId="669FE49E" w:rsidR="007D0752" w:rsidRPr="007D0752" w:rsidRDefault="007D0752" w:rsidP="00DC13F6">
      <w:pPr>
        <w:rPr>
          <w:rFonts w:ascii="Calibri" w:hAnsi="Calibri" w:cs="Calibri"/>
          <w:b/>
          <w:bCs/>
          <w:i/>
          <w:sz w:val="22"/>
          <w:szCs w:val="22"/>
        </w:rPr>
      </w:pPr>
      <w:r w:rsidRPr="007D0752">
        <w:rPr>
          <w:rFonts w:ascii="Calibri" w:hAnsi="Calibri" w:cs="Calibri"/>
          <w:b/>
          <w:bCs/>
          <w:i/>
          <w:sz w:val="22"/>
          <w:szCs w:val="22"/>
        </w:rPr>
        <w:t>Resultatopgørelse alle delregnskaber</w:t>
      </w:r>
    </w:p>
    <w:p w14:paraId="395BE4BE" w14:textId="66C0C991" w:rsidR="00F910A4" w:rsidRDefault="00B233DE" w:rsidP="00DC13F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w:drawing>
          <wp:inline distT="0" distB="0" distL="0" distR="0" wp14:anchorId="281616B8" wp14:editId="55D4FB7D">
            <wp:extent cx="6120765" cy="2329180"/>
            <wp:effectExtent l="0" t="0" r="0" b="0"/>
            <wp:docPr id="211640667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4FA1A" w14:textId="77777777" w:rsidR="00075AA0" w:rsidRDefault="00075AA0" w:rsidP="00DC13F6"/>
    <w:p w14:paraId="2F6623EF" w14:textId="1D975C58" w:rsidR="00305A31" w:rsidRDefault="00B233DE" w:rsidP="00DC13F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w:drawing>
          <wp:inline distT="0" distB="0" distL="0" distR="0" wp14:anchorId="0302E073" wp14:editId="307542FB">
            <wp:extent cx="6120765" cy="1073150"/>
            <wp:effectExtent l="0" t="0" r="0" b="0"/>
            <wp:docPr id="168173834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22258" w14:textId="77777777" w:rsidR="00994D4B" w:rsidRDefault="00994D4B" w:rsidP="00DC13F6">
      <w:pPr>
        <w:rPr>
          <w:rFonts w:ascii="Calibri" w:hAnsi="Calibri" w:cs="Calibri"/>
          <w:i/>
        </w:rPr>
      </w:pPr>
    </w:p>
    <w:p w14:paraId="3A6C1918" w14:textId="77777777" w:rsidR="00452E22" w:rsidRDefault="00452E22" w:rsidP="00DC13F6">
      <w:pPr>
        <w:rPr>
          <w:rFonts w:ascii="Calibri" w:hAnsi="Calibri" w:cs="Calibri"/>
          <w:i/>
        </w:rPr>
      </w:pPr>
    </w:p>
    <w:p w14:paraId="0A6D577E" w14:textId="37B07AAA" w:rsidR="00EC362F" w:rsidRPr="00EC362F" w:rsidRDefault="00EC362F" w:rsidP="00EC362F">
      <w:pPr>
        <w:rPr>
          <w:rFonts w:ascii="Calibri" w:hAnsi="Calibri" w:cs="Calibri"/>
          <w:bCs/>
          <w:sz w:val="22"/>
          <w:szCs w:val="22"/>
        </w:rPr>
      </w:pPr>
      <w:r w:rsidRPr="00EC362F">
        <w:rPr>
          <w:rFonts w:ascii="Calibri" w:hAnsi="Calibri" w:cs="Calibri"/>
          <w:bCs/>
          <w:sz w:val="22"/>
          <w:szCs w:val="22"/>
        </w:rPr>
        <w:t xml:space="preserve">Institut for Folkesundhed står over for en periode med balanceret udvikling i både indtægter og omkostninger. </w:t>
      </w:r>
      <w:r>
        <w:rPr>
          <w:rFonts w:ascii="Calibri" w:hAnsi="Calibri" w:cs="Calibri"/>
          <w:bCs/>
          <w:sz w:val="22"/>
          <w:szCs w:val="22"/>
        </w:rPr>
        <w:t>I</w:t>
      </w:r>
      <w:r w:rsidRPr="00EC362F">
        <w:rPr>
          <w:rFonts w:ascii="Calibri" w:hAnsi="Calibri" w:cs="Calibri"/>
          <w:bCs/>
          <w:sz w:val="22"/>
          <w:szCs w:val="22"/>
        </w:rPr>
        <w:t xml:space="preserve"> lyset af de økonomiske </w:t>
      </w:r>
      <w:r>
        <w:rPr>
          <w:rFonts w:ascii="Calibri" w:hAnsi="Calibri" w:cs="Calibri"/>
          <w:bCs/>
          <w:sz w:val="22"/>
          <w:szCs w:val="22"/>
        </w:rPr>
        <w:t>implikationer</w:t>
      </w:r>
      <w:r w:rsidRPr="00EC362F">
        <w:rPr>
          <w:rFonts w:ascii="Calibri" w:hAnsi="Calibri" w:cs="Calibri"/>
          <w:bCs/>
          <w:sz w:val="22"/>
          <w:szCs w:val="22"/>
        </w:rPr>
        <w:t xml:space="preserve">, der følger af dimensioneringen på uddannelsesområdet, er dette </w:t>
      </w:r>
      <w:r>
        <w:rPr>
          <w:rFonts w:ascii="Calibri" w:hAnsi="Calibri" w:cs="Calibri"/>
          <w:bCs/>
          <w:sz w:val="22"/>
          <w:szCs w:val="22"/>
        </w:rPr>
        <w:t xml:space="preserve">alt andet lige </w:t>
      </w:r>
      <w:r w:rsidRPr="00EC362F">
        <w:rPr>
          <w:rFonts w:ascii="Calibri" w:hAnsi="Calibri" w:cs="Calibri"/>
          <w:bCs/>
          <w:sz w:val="22"/>
          <w:szCs w:val="22"/>
        </w:rPr>
        <w:t>et positivt udgangspunkt. Det balancerede budget er</w:t>
      </w:r>
      <w:r>
        <w:rPr>
          <w:rFonts w:ascii="Calibri" w:hAnsi="Calibri" w:cs="Calibri"/>
          <w:bCs/>
          <w:sz w:val="22"/>
          <w:szCs w:val="22"/>
        </w:rPr>
        <w:t xml:space="preserve"> opnået med </w:t>
      </w:r>
      <w:r w:rsidRPr="00EC362F">
        <w:rPr>
          <w:rFonts w:ascii="Calibri" w:hAnsi="Calibri" w:cs="Calibri"/>
          <w:bCs/>
          <w:sz w:val="22"/>
          <w:szCs w:val="22"/>
        </w:rPr>
        <w:t>fortsat mulighed for rekruttering af videnskabeligt personale samt kapacitetsopbygning i sekretariatet.</w:t>
      </w:r>
    </w:p>
    <w:p w14:paraId="1FC2381E" w14:textId="77777777" w:rsidR="00EC362F" w:rsidRPr="00EC362F" w:rsidRDefault="00EC362F" w:rsidP="00EC362F">
      <w:pPr>
        <w:rPr>
          <w:rFonts w:ascii="Calibri" w:hAnsi="Calibri" w:cs="Calibri"/>
          <w:bCs/>
          <w:sz w:val="22"/>
          <w:szCs w:val="22"/>
        </w:rPr>
      </w:pPr>
    </w:p>
    <w:p w14:paraId="78EFAB57" w14:textId="486F8126" w:rsidR="00EC362F" w:rsidRPr="00EC362F" w:rsidRDefault="00EC362F" w:rsidP="00EC362F">
      <w:pPr>
        <w:rPr>
          <w:rFonts w:asciiTheme="minorHAnsi" w:hAnsiTheme="minorHAnsi" w:cstheme="minorHAnsi"/>
          <w:bCs/>
          <w:sz w:val="22"/>
          <w:szCs w:val="22"/>
        </w:rPr>
      </w:pPr>
      <w:r w:rsidRPr="00EC362F">
        <w:rPr>
          <w:rFonts w:ascii="Calibri" w:hAnsi="Calibri" w:cs="Calibri"/>
          <w:bCs/>
          <w:sz w:val="22"/>
          <w:szCs w:val="22"/>
        </w:rPr>
        <w:t xml:space="preserve">For </w:t>
      </w:r>
      <w:r w:rsidRPr="00EC362F">
        <w:rPr>
          <w:rFonts w:asciiTheme="minorHAnsi" w:hAnsiTheme="minorHAnsi" w:cstheme="minorHAnsi"/>
          <w:bCs/>
          <w:sz w:val="22"/>
          <w:szCs w:val="22"/>
        </w:rPr>
        <w:t>at fastholde den økonomiske stabilitet vil instituttet opretholde stram budgetdisciplin og samtidig iværksætte en række budgetforbedrende tiltag:</w:t>
      </w:r>
    </w:p>
    <w:p w14:paraId="1D8D1DA5" w14:textId="77777777" w:rsidR="00EC362F" w:rsidRPr="00EC362F" w:rsidRDefault="00EC362F" w:rsidP="00EC362F">
      <w:pPr>
        <w:rPr>
          <w:rFonts w:asciiTheme="minorHAnsi" w:hAnsiTheme="minorHAnsi" w:cstheme="minorHAnsi"/>
          <w:bCs/>
          <w:sz w:val="22"/>
          <w:szCs w:val="22"/>
        </w:rPr>
      </w:pPr>
    </w:p>
    <w:p w14:paraId="49B7124A" w14:textId="6E270D2E" w:rsidR="00EC362F" w:rsidRPr="00EC362F" w:rsidRDefault="00EC362F" w:rsidP="00EC362F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EC362F">
        <w:rPr>
          <w:rFonts w:asciiTheme="minorHAnsi" w:hAnsiTheme="minorHAnsi" w:cstheme="minorHAnsi"/>
          <w:bCs/>
        </w:rPr>
        <w:t>Sikring af OH og inddækning gennem tættere samarbejde med forskningsstøtteenheden</w:t>
      </w:r>
    </w:p>
    <w:p w14:paraId="0F458870" w14:textId="77777777" w:rsidR="00EC362F" w:rsidRPr="00EC362F" w:rsidRDefault="00EC362F" w:rsidP="00EC362F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EC362F">
        <w:rPr>
          <w:rFonts w:asciiTheme="minorHAnsi" w:hAnsiTheme="minorHAnsi" w:cstheme="minorHAnsi"/>
          <w:bCs/>
        </w:rPr>
        <w:t>Målrettet fondsansøgningsarbejde med fokus på fonde, der tilbyder OH og inddækningsmuligheder</w:t>
      </w:r>
    </w:p>
    <w:p w14:paraId="7323D0AF" w14:textId="77777777" w:rsidR="00EC362F" w:rsidRPr="00EC362F" w:rsidRDefault="00EC362F" w:rsidP="00EC362F">
      <w:pPr>
        <w:pStyle w:val="Listeafsnit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EC362F">
        <w:rPr>
          <w:rFonts w:asciiTheme="minorHAnsi" w:hAnsiTheme="minorHAnsi" w:cstheme="minorHAnsi"/>
          <w:bCs/>
        </w:rPr>
        <w:t>Optimering af undervisningsøkonomien, herunder konsolidering af undervisningslinjer og reduktion i brugen af D-VIP</w:t>
      </w:r>
    </w:p>
    <w:p w14:paraId="7EFB2A29" w14:textId="77777777" w:rsidR="00EC362F" w:rsidRPr="00EC362F" w:rsidRDefault="00EC362F" w:rsidP="00EC362F">
      <w:pPr>
        <w:rPr>
          <w:rFonts w:asciiTheme="minorHAnsi" w:hAnsiTheme="minorHAnsi" w:cstheme="minorHAnsi"/>
          <w:bCs/>
          <w:sz w:val="22"/>
          <w:szCs w:val="22"/>
        </w:rPr>
      </w:pPr>
    </w:p>
    <w:p w14:paraId="3D062B46" w14:textId="1FA6C5EF" w:rsidR="00C9486C" w:rsidRPr="00EC362F" w:rsidRDefault="00EC362F" w:rsidP="00EC362F">
      <w:pPr>
        <w:rPr>
          <w:rFonts w:asciiTheme="minorHAnsi" w:hAnsiTheme="minorHAnsi" w:cstheme="minorHAnsi"/>
          <w:bCs/>
          <w:sz w:val="22"/>
          <w:szCs w:val="22"/>
        </w:rPr>
      </w:pPr>
      <w:r w:rsidRPr="00EC362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Initiativerne samt stram budgetstyring understøtter instituttets fortsatte faglige udvikling indenfor en bæredygtig økonomisk ramme. </w:t>
      </w:r>
    </w:p>
    <w:p w14:paraId="3B18FC82" w14:textId="739E1F2D" w:rsidR="00457220" w:rsidRDefault="00457220" w:rsidP="00C9486C">
      <w:pPr>
        <w:pStyle w:val="Listeafsnit"/>
        <w:ind w:left="870"/>
        <w:rPr>
          <w:bCs/>
        </w:rPr>
      </w:pPr>
    </w:p>
    <w:p w14:paraId="132EA680" w14:textId="77777777" w:rsidR="00C24F22" w:rsidRDefault="00C24F22" w:rsidP="00C9486C">
      <w:pPr>
        <w:pStyle w:val="Listeafsnit"/>
        <w:ind w:left="870"/>
        <w:rPr>
          <w:bCs/>
        </w:rPr>
      </w:pPr>
    </w:p>
    <w:p w14:paraId="0E9A161F" w14:textId="77777777" w:rsidR="00C24F22" w:rsidRDefault="00C24F22" w:rsidP="00C9486C">
      <w:pPr>
        <w:pStyle w:val="Listeafsnit"/>
        <w:ind w:left="870"/>
        <w:rPr>
          <w:bCs/>
        </w:rPr>
      </w:pPr>
    </w:p>
    <w:p w14:paraId="266EE5F4" w14:textId="77777777" w:rsidR="00C24F22" w:rsidRPr="00C9486C" w:rsidRDefault="00C24F22" w:rsidP="00C9486C">
      <w:pPr>
        <w:pStyle w:val="Listeafsnit"/>
        <w:ind w:left="870"/>
        <w:rPr>
          <w:bCs/>
        </w:rPr>
      </w:pPr>
    </w:p>
    <w:p w14:paraId="600B6EFB" w14:textId="392427D6" w:rsidR="00452E22" w:rsidRDefault="00457220" w:rsidP="00DC13F6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31AD750B" w14:textId="7EE2011D" w:rsidR="00F910A4" w:rsidRPr="003B7BDA" w:rsidRDefault="00F910A4" w:rsidP="00DC13F6">
      <w:pPr>
        <w:ind w:right="-468"/>
        <w:rPr>
          <w:rFonts w:ascii="Calibri" w:hAnsi="Calibri" w:cs="Calibri"/>
          <w:sz w:val="22"/>
          <w:szCs w:val="22"/>
        </w:rPr>
      </w:pPr>
      <w:r w:rsidRPr="003B7BDA">
        <w:rPr>
          <w:rFonts w:ascii="Calibri" w:hAnsi="Calibri" w:cs="Calibri"/>
          <w:b/>
          <w:sz w:val="22"/>
          <w:szCs w:val="22"/>
        </w:rPr>
        <w:t>Detaljeret budgetgennemgang</w:t>
      </w:r>
    </w:p>
    <w:p w14:paraId="666FE303" w14:textId="77777777" w:rsidR="00F910A4" w:rsidRPr="003B7BDA" w:rsidRDefault="00F910A4" w:rsidP="00DC13F6">
      <w:pPr>
        <w:ind w:right="-468"/>
        <w:rPr>
          <w:rFonts w:ascii="Calibri" w:hAnsi="Calibri" w:cs="Calibri"/>
          <w:b/>
          <w:sz w:val="22"/>
          <w:szCs w:val="22"/>
        </w:rPr>
      </w:pPr>
    </w:p>
    <w:p w14:paraId="6D64D6E2" w14:textId="77777777" w:rsidR="00F910A4" w:rsidRPr="003B7BDA" w:rsidRDefault="00F910A4" w:rsidP="00DC13F6">
      <w:pPr>
        <w:ind w:right="-468"/>
        <w:rPr>
          <w:rFonts w:ascii="Calibri" w:hAnsi="Calibri" w:cs="Calibri"/>
          <w:b/>
          <w:sz w:val="22"/>
          <w:szCs w:val="22"/>
        </w:rPr>
      </w:pPr>
      <w:r w:rsidRPr="003B7BDA">
        <w:rPr>
          <w:rFonts w:ascii="Calibri" w:hAnsi="Calibri" w:cs="Calibri"/>
          <w:b/>
          <w:sz w:val="22"/>
          <w:szCs w:val="22"/>
        </w:rPr>
        <w:t xml:space="preserve">Resultatet for DR1 og DR2 </w:t>
      </w:r>
    </w:p>
    <w:p w14:paraId="1EF1002F" w14:textId="77777777" w:rsidR="007D0752" w:rsidRDefault="007D0752" w:rsidP="00DC13F6">
      <w:pPr>
        <w:rPr>
          <w:rFonts w:ascii="Calibri" w:hAnsi="Calibri" w:cs="Calibri"/>
          <w:i/>
          <w:sz w:val="22"/>
          <w:szCs w:val="22"/>
        </w:rPr>
      </w:pPr>
    </w:p>
    <w:p w14:paraId="19CF226C" w14:textId="5661BA97" w:rsidR="00964C6E" w:rsidRPr="007D0752" w:rsidRDefault="007D0752" w:rsidP="00DC13F6">
      <w:pPr>
        <w:rPr>
          <w:rFonts w:ascii="Calibri" w:hAnsi="Calibri" w:cs="Calibri"/>
          <w:b/>
          <w:bCs/>
          <w:i/>
          <w:sz w:val="22"/>
          <w:szCs w:val="22"/>
        </w:rPr>
      </w:pPr>
      <w:r w:rsidRPr="007D0752">
        <w:rPr>
          <w:rFonts w:ascii="Calibri" w:hAnsi="Calibri" w:cs="Calibri"/>
          <w:b/>
          <w:bCs/>
          <w:i/>
          <w:sz w:val="22"/>
          <w:szCs w:val="22"/>
        </w:rPr>
        <w:t>Resultatopgørelse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ordinær drift</w:t>
      </w:r>
      <w:r w:rsidRPr="007D0752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sz w:val="22"/>
          <w:szCs w:val="22"/>
        </w:rPr>
        <w:t>(DR</w:t>
      </w:r>
      <w:r w:rsidR="00D814ED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B233DE">
        <w:rPr>
          <w:rFonts w:ascii="Calibri" w:hAnsi="Calibri" w:cs="Calibri"/>
          <w:b/>
          <w:bCs/>
          <w:i/>
          <w:sz w:val="22"/>
          <w:szCs w:val="22"/>
        </w:rPr>
        <w:t>1 og 2</w:t>
      </w:r>
      <w:r>
        <w:rPr>
          <w:rFonts w:ascii="Calibri" w:hAnsi="Calibri" w:cs="Calibri"/>
          <w:b/>
          <w:bCs/>
          <w:i/>
          <w:sz w:val="22"/>
          <w:szCs w:val="22"/>
        </w:rPr>
        <w:t>)</w:t>
      </w:r>
    </w:p>
    <w:p w14:paraId="3A684866" w14:textId="55E9C31E" w:rsidR="00FE795C" w:rsidRDefault="00B233DE" w:rsidP="00DC13F6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noProof/>
          <w:sz w:val="22"/>
          <w:szCs w:val="22"/>
        </w:rPr>
        <w:drawing>
          <wp:inline distT="0" distB="0" distL="0" distR="0" wp14:anchorId="2F2350A3" wp14:editId="2367886F">
            <wp:extent cx="6120765" cy="4279900"/>
            <wp:effectExtent l="0" t="0" r="0" b="6350"/>
            <wp:docPr id="161808991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27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E4F9D" w14:textId="77777777" w:rsidR="00FE795C" w:rsidRDefault="00FE795C" w:rsidP="00DC13F6">
      <w:pPr>
        <w:rPr>
          <w:rFonts w:ascii="Calibri" w:hAnsi="Calibri" w:cs="Calibri"/>
          <w:i/>
          <w:sz w:val="22"/>
          <w:szCs w:val="22"/>
        </w:rPr>
      </w:pPr>
    </w:p>
    <w:p w14:paraId="147696FB" w14:textId="77777777" w:rsidR="00354328" w:rsidRDefault="00354328" w:rsidP="00BD05A9">
      <w:pPr>
        <w:rPr>
          <w:rFonts w:ascii="Calibri" w:hAnsi="Calibri" w:cs="Calibri"/>
          <w:i/>
          <w:sz w:val="22"/>
          <w:szCs w:val="22"/>
        </w:rPr>
      </w:pPr>
    </w:p>
    <w:p w14:paraId="248ACDFD" w14:textId="77777777" w:rsidR="006F579E" w:rsidRPr="006F579E" w:rsidRDefault="006F579E" w:rsidP="00BD05A9">
      <w:pPr>
        <w:rPr>
          <w:rFonts w:ascii="Calibri" w:hAnsi="Calibri" w:cs="Calibri"/>
          <w:b/>
          <w:sz w:val="22"/>
          <w:szCs w:val="22"/>
        </w:rPr>
      </w:pPr>
      <w:r w:rsidRPr="006F579E">
        <w:rPr>
          <w:rFonts w:ascii="Calibri" w:hAnsi="Calibri" w:cs="Calibri"/>
          <w:b/>
          <w:sz w:val="22"/>
          <w:szCs w:val="22"/>
        </w:rPr>
        <w:t>Indtægter:</w:t>
      </w:r>
    </w:p>
    <w:p w14:paraId="1E00DB8D" w14:textId="3F27ED70" w:rsidR="006F579E" w:rsidRDefault="0016687D" w:rsidP="00BD05A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 samlede indtægter f</w:t>
      </w:r>
      <w:r w:rsidR="00FC51A8">
        <w:rPr>
          <w:rFonts w:ascii="Calibri" w:hAnsi="Calibri" w:cs="Calibri"/>
          <w:sz w:val="22"/>
          <w:szCs w:val="22"/>
        </w:rPr>
        <w:t xml:space="preserve">orventes at falde med 13 mio. kr. </w:t>
      </w:r>
      <w:r>
        <w:rPr>
          <w:rFonts w:ascii="Calibri" w:hAnsi="Calibri" w:cs="Calibri"/>
          <w:sz w:val="22"/>
          <w:szCs w:val="22"/>
        </w:rPr>
        <w:t xml:space="preserve"> fra ØR3 2025 til 2029</w:t>
      </w:r>
      <w:r w:rsidR="00953AF4">
        <w:rPr>
          <w:rFonts w:ascii="Calibri" w:hAnsi="Calibri" w:cs="Calibri"/>
          <w:sz w:val="22"/>
          <w:szCs w:val="22"/>
        </w:rPr>
        <w:t xml:space="preserve"> og </w:t>
      </w:r>
      <w:r w:rsidR="00FC51A8">
        <w:rPr>
          <w:rFonts w:ascii="Calibri" w:hAnsi="Calibri" w:cs="Calibri"/>
          <w:sz w:val="22"/>
          <w:szCs w:val="22"/>
        </w:rPr>
        <w:t xml:space="preserve">med 9 mio. kr. </w:t>
      </w:r>
      <w:r w:rsidR="00953AF4">
        <w:rPr>
          <w:rFonts w:ascii="Calibri" w:hAnsi="Calibri" w:cs="Calibri"/>
          <w:sz w:val="22"/>
          <w:szCs w:val="22"/>
        </w:rPr>
        <w:t>i budgetperioden 2026</w:t>
      </w:r>
      <w:r w:rsidR="00FC51A8">
        <w:rPr>
          <w:rFonts w:ascii="Calibri" w:hAnsi="Calibri" w:cs="Calibri"/>
          <w:sz w:val="22"/>
          <w:szCs w:val="22"/>
        </w:rPr>
        <w:t>-</w:t>
      </w:r>
      <w:r w:rsidR="00953AF4">
        <w:rPr>
          <w:rFonts w:ascii="Calibri" w:hAnsi="Calibri" w:cs="Calibri"/>
          <w:sz w:val="22"/>
          <w:szCs w:val="22"/>
        </w:rPr>
        <w:t>2029</w:t>
      </w:r>
      <w:r w:rsidR="00FC51A8">
        <w:rPr>
          <w:rFonts w:ascii="Calibri" w:hAnsi="Calibri" w:cs="Calibri"/>
          <w:sz w:val="22"/>
          <w:szCs w:val="22"/>
        </w:rPr>
        <w:t>. F</w:t>
      </w:r>
      <w:r>
        <w:rPr>
          <w:rFonts w:ascii="Calibri" w:hAnsi="Calibri" w:cs="Calibri"/>
          <w:sz w:val="22"/>
          <w:szCs w:val="22"/>
        </w:rPr>
        <w:t>alde</w:t>
      </w:r>
      <w:r w:rsidR="00FC51A8">
        <w:rPr>
          <w:rFonts w:ascii="Calibri" w:hAnsi="Calibri" w:cs="Calibri"/>
          <w:sz w:val="22"/>
          <w:szCs w:val="22"/>
        </w:rPr>
        <w:t>t skyldes primært lavere</w:t>
      </w:r>
      <w:r>
        <w:rPr>
          <w:rFonts w:ascii="Calibri" w:hAnsi="Calibri" w:cs="Calibri"/>
          <w:sz w:val="22"/>
          <w:szCs w:val="22"/>
        </w:rPr>
        <w:t xml:space="preserve"> finanslovsindtægter </w:t>
      </w:r>
      <w:r w:rsidR="00FC51A8">
        <w:rPr>
          <w:rFonts w:ascii="Calibri" w:hAnsi="Calibri" w:cs="Calibri"/>
          <w:sz w:val="22"/>
          <w:szCs w:val="22"/>
        </w:rPr>
        <w:t>samt reducerede rammeflytninger</w:t>
      </w:r>
      <w:r w:rsidR="00373F7C">
        <w:rPr>
          <w:rFonts w:ascii="Calibri" w:hAnsi="Calibri" w:cs="Calibri"/>
          <w:sz w:val="22"/>
          <w:szCs w:val="22"/>
        </w:rPr>
        <w:t>.</w:t>
      </w:r>
    </w:p>
    <w:p w14:paraId="2356A303" w14:textId="77777777" w:rsidR="00373F7C" w:rsidRPr="003B7BDA" w:rsidRDefault="00373F7C" w:rsidP="00BD05A9">
      <w:pPr>
        <w:rPr>
          <w:rFonts w:ascii="Calibri" w:hAnsi="Calibri" w:cs="Calibri"/>
          <w:i/>
          <w:sz w:val="22"/>
          <w:szCs w:val="22"/>
        </w:rPr>
      </w:pPr>
    </w:p>
    <w:p w14:paraId="21F37B14" w14:textId="77777777" w:rsidR="00BE5881" w:rsidRPr="006F579E" w:rsidRDefault="00BE5881" w:rsidP="00BD05A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Uddannelsestilskud</w:t>
      </w:r>
      <w:r w:rsidRPr="006F579E">
        <w:rPr>
          <w:rFonts w:ascii="Calibri" w:hAnsi="Calibri" w:cs="Calibri"/>
          <w:i/>
          <w:sz w:val="22"/>
          <w:szCs w:val="22"/>
        </w:rPr>
        <w:t>:</w:t>
      </w:r>
    </w:p>
    <w:p w14:paraId="75E7094D" w14:textId="5651AD4A" w:rsidR="00BE5881" w:rsidRDefault="00FC51A8" w:rsidP="00BD05A9">
      <w:pPr>
        <w:rPr>
          <w:rFonts w:ascii="Calibri" w:hAnsi="Calibri" w:cs="Calibri"/>
          <w:sz w:val="22"/>
          <w:szCs w:val="22"/>
        </w:rPr>
      </w:pPr>
      <w:r w:rsidRPr="00FC51A8">
        <w:rPr>
          <w:rFonts w:ascii="Calibri" w:hAnsi="Calibri" w:cs="Calibri"/>
          <w:sz w:val="22"/>
          <w:szCs w:val="22"/>
        </w:rPr>
        <w:t>Uddannelsestilskuddene forventes at falde med 5 mio. kr. fra ØR3 2025 til 2029 og med 2 mio. kr. i perioden 2026-2029. Faldet skyldes primært sektordimensionering, som påvirker Idræts</w:t>
      </w:r>
      <w:r w:rsidR="00177650">
        <w:rPr>
          <w:rFonts w:ascii="Calibri" w:hAnsi="Calibri" w:cs="Calibri"/>
          <w:sz w:val="22"/>
          <w:szCs w:val="22"/>
        </w:rPr>
        <w:t>-</w:t>
      </w:r>
      <w:r w:rsidRPr="00FC51A8">
        <w:rPr>
          <w:rFonts w:ascii="Calibri" w:hAnsi="Calibri" w:cs="Calibri"/>
          <w:sz w:val="22"/>
          <w:szCs w:val="22"/>
        </w:rPr>
        <w:t xml:space="preserve"> og Folkesundhedsvidenskabsuddannelsen.</w:t>
      </w:r>
    </w:p>
    <w:p w14:paraId="3E4F612E" w14:textId="77777777" w:rsidR="00FC51A8" w:rsidRDefault="00FC51A8" w:rsidP="00BD05A9">
      <w:pPr>
        <w:rPr>
          <w:rFonts w:ascii="Calibri" w:hAnsi="Calibri" w:cs="Calibri"/>
          <w:sz w:val="22"/>
          <w:szCs w:val="22"/>
        </w:rPr>
      </w:pPr>
    </w:p>
    <w:p w14:paraId="04D038B8" w14:textId="46599986" w:rsidR="005607FA" w:rsidRPr="006F579E" w:rsidRDefault="0058317F" w:rsidP="00BD05A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Basisforskning</w:t>
      </w:r>
      <w:r w:rsidRPr="006F579E">
        <w:rPr>
          <w:rFonts w:ascii="Calibri" w:hAnsi="Calibri" w:cs="Calibri"/>
          <w:i/>
          <w:sz w:val="22"/>
          <w:szCs w:val="22"/>
        </w:rPr>
        <w:t>:</w:t>
      </w:r>
    </w:p>
    <w:p w14:paraId="46087D23" w14:textId="101F8636" w:rsidR="00FC51A8" w:rsidRDefault="00FC51A8" w:rsidP="00BD05A9">
      <w:pPr>
        <w:rPr>
          <w:rFonts w:ascii="Calibri" w:hAnsi="Calibri" w:cs="Calibri"/>
          <w:sz w:val="22"/>
          <w:szCs w:val="22"/>
        </w:rPr>
      </w:pPr>
      <w:r w:rsidRPr="00FC51A8">
        <w:rPr>
          <w:rFonts w:ascii="Calibri" w:hAnsi="Calibri" w:cs="Calibri"/>
          <w:sz w:val="22"/>
          <w:szCs w:val="22"/>
        </w:rPr>
        <w:t>Basisforskningsmidlerne er øget fra Primo 2025 til ØR3 2025 som følge af overflytningen af Center for Registerforskning</w:t>
      </w:r>
      <w:r w:rsidR="00177650">
        <w:rPr>
          <w:rFonts w:ascii="Calibri" w:hAnsi="Calibri" w:cs="Calibri"/>
          <w:sz w:val="22"/>
          <w:szCs w:val="22"/>
        </w:rPr>
        <w:t xml:space="preserve"> fra BSS</w:t>
      </w:r>
      <w:r w:rsidRPr="00FC51A8">
        <w:rPr>
          <w:rFonts w:ascii="Calibri" w:hAnsi="Calibri" w:cs="Calibri"/>
          <w:sz w:val="22"/>
          <w:szCs w:val="22"/>
        </w:rPr>
        <w:t>.</w:t>
      </w:r>
    </w:p>
    <w:p w14:paraId="2215CED5" w14:textId="77777777" w:rsidR="00FC51A8" w:rsidRDefault="00FC51A8" w:rsidP="00BD05A9">
      <w:pPr>
        <w:rPr>
          <w:rFonts w:ascii="Calibri" w:hAnsi="Calibri" w:cs="Calibri"/>
          <w:sz w:val="22"/>
          <w:szCs w:val="22"/>
        </w:rPr>
      </w:pPr>
    </w:p>
    <w:p w14:paraId="57D989B4" w14:textId="4EB57351" w:rsidR="00BE5881" w:rsidRPr="00EA379B" w:rsidRDefault="00BE5881" w:rsidP="00BD05A9">
      <w:pPr>
        <w:rPr>
          <w:rFonts w:ascii="Calibri" w:hAnsi="Calibri" w:cs="Calibri"/>
          <w:i/>
          <w:sz w:val="22"/>
          <w:szCs w:val="22"/>
        </w:rPr>
      </w:pPr>
      <w:r w:rsidRPr="00EA379B">
        <w:rPr>
          <w:rFonts w:ascii="Calibri" w:hAnsi="Calibri" w:cs="Calibri"/>
          <w:i/>
          <w:sz w:val="22"/>
          <w:szCs w:val="22"/>
        </w:rPr>
        <w:t>Øvrige salgsindtægter:</w:t>
      </w:r>
    </w:p>
    <w:p w14:paraId="2BBFCD65" w14:textId="4075E1EF" w:rsidR="00D00BC4" w:rsidRDefault="00FC51A8" w:rsidP="00BD05A9">
      <w:pPr>
        <w:rPr>
          <w:rFonts w:ascii="Calibri" w:hAnsi="Calibri" w:cs="Calibri"/>
          <w:sz w:val="22"/>
          <w:szCs w:val="22"/>
        </w:rPr>
      </w:pPr>
      <w:r w:rsidRPr="00FC51A8">
        <w:rPr>
          <w:rFonts w:ascii="Calibri" w:hAnsi="Calibri" w:cs="Calibri"/>
          <w:sz w:val="22"/>
          <w:szCs w:val="22"/>
        </w:rPr>
        <w:t xml:space="preserve">Indtægterne er steget i ØR3 2025 og 2026, primært som følge af DR2-projektet </w:t>
      </w:r>
      <w:r w:rsidRPr="00FC51A8">
        <w:rPr>
          <w:rFonts w:ascii="Calibri" w:hAnsi="Calibri" w:cs="Calibri"/>
          <w:i/>
          <w:iCs/>
          <w:sz w:val="22"/>
          <w:szCs w:val="22"/>
        </w:rPr>
        <w:t>Rockwool and Cancer</w:t>
      </w:r>
      <w:r w:rsidRPr="00FC51A8">
        <w:rPr>
          <w:rFonts w:ascii="Calibri" w:hAnsi="Calibri" w:cs="Calibri"/>
          <w:sz w:val="22"/>
          <w:szCs w:val="22"/>
        </w:rPr>
        <w:t>, som strækker sig over to år.</w:t>
      </w:r>
    </w:p>
    <w:p w14:paraId="6038B6DF" w14:textId="77777777" w:rsidR="007A031B" w:rsidRDefault="007A031B" w:rsidP="001C4573">
      <w:pPr>
        <w:rPr>
          <w:rFonts w:ascii="Calibri" w:hAnsi="Calibri" w:cs="Calibri"/>
          <w:i/>
          <w:sz w:val="22"/>
          <w:szCs w:val="22"/>
        </w:rPr>
      </w:pPr>
      <w:bookmarkStart w:id="0" w:name="_Hlk144462326"/>
    </w:p>
    <w:p w14:paraId="10D05627" w14:textId="77777777" w:rsidR="007A031B" w:rsidRDefault="007A031B" w:rsidP="001C4573">
      <w:pPr>
        <w:rPr>
          <w:rFonts w:ascii="Calibri" w:hAnsi="Calibri" w:cs="Calibri"/>
          <w:i/>
          <w:sz w:val="22"/>
          <w:szCs w:val="22"/>
        </w:rPr>
      </w:pPr>
    </w:p>
    <w:p w14:paraId="3C4DEF59" w14:textId="77777777" w:rsidR="00FC51A8" w:rsidRDefault="00FC51A8" w:rsidP="001C4573">
      <w:pPr>
        <w:rPr>
          <w:rFonts w:ascii="Calibri" w:hAnsi="Calibri" w:cs="Calibri"/>
          <w:i/>
          <w:sz w:val="22"/>
          <w:szCs w:val="22"/>
        </w:rPr>
      </w:pPr>
    </w:p>
    <w:p w14:paraId="22728214" w14:textId="2F070B6C" w:rsidR="001C4573" w:rsidRPr="006F579E" w:rsidRDefault="001C4573" w:rsidP="001C4573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Interne bidrag &amp; Rammeflytninger</w:t>
      </w:r>
      <w:r w:rsidRPr="006F579E">
        <w:rPr>
          <w:rFonts w:ascii="Calibri" w:hAnsi="Calibri" w:cs="Calibri"/>
          <w:i/>
          <w:sz w:val="22"/>
          <w:szCs w:val="22"/>
        </w:rPr>
        <w:t>:</w:t>
      </w:r>
    </w:p>
    <w:bookmarkEnd w:id="0"/>
    <w:p w14:paraId="07B2D119" w14:textId="28C2D105" w:rsidR="00BE5881" w:rsidRDefault="00FC51A8" w:rsidP="00BD05A9">
      <w:pPr>
        <w:rPr>
          <w:rFonts w:ascii="Calibri" w:hAnsi="Calibri" w:cs="Calibri"/>
          <w:sz w:val="22"/>
          <w:szCs w:val="22"/>
        </w:rPr>
      </w:pPr>
      <w:r w:rsidRPr="00FC51A8">
        <w:rPr>
          <w:rFonts w:ascii="Calibri" w:hAnsi="Calibri" w:cs="Calibri"/>
          <w:sz w:val="22"/>
          <w:szCs w:val="22"/>
        </w:rPr>
        <w:t>Rammeflytninger er øget med 5 mio. kr. fra Primo 2025 til ØR3 2025 som følge af dekanens støtte til instituttets ombygning.</w:t>
      </w:r>
    </w:p>
    <w:p w14:paraId="6FFE446F" w14:textId="77777777" w:rsidR="00177650" w:rsidRDefault="00177650" w:rsidP="00BD05A9">
      <w:pPr>
        <w:rPr>
          <w:rFonts w:ascii="Calibri" w:hAnsi="Calibri" w:cs="Calibri"/>
          <w:sz w:val="22"/>
          <w:szCs w:val="22"/>
        </w:rPr>
      </w:pPr>
    </w:p>
    <w:p w14:paraId="0068B9B8" w14:textId="6962642C" w:rsidR="00F07CE1" w:rsidRDefault="00FC51A8" w:rsidP="00BD05A9">
      <w:pPr>
        <w:rPr>
          <w:rFonts w:ascii="Calibri" w:hAnsi="Calibri" w:cs="Calibri"/>
          <w:sz w:val="22"/>
          <w:szCs w:val="22"/>
        </w:rPr>
      </w:pPr>
      <w:r w:rsidRPr="00FC51A8">
        <w:rPr>
          <w:rFonts w:ascii="Calibri" w:hAnsi="Calibri" w:cs="Calibri"/>
          <w:sz w:val="22"/>
          <w:szCs w:val="22"/>
        </w:rPr>
        <w:t>Niveauet fastholdes på 19 mio. kr. i 2026 og 2027, da REACH-bevillingen og tilskud til CIRRAU er inkluderet.</w:t>
      </w:r>
      <w:r w:rsidRPr="00FC51A8">
        <w:t xml:space="preserve"> </w:t>
      </w:r>
      <w:r w:rsidRPr="00FC51A8">
        <w:rPr>
          <w:rFonts w:ascii="Calibri" w:hAnsi="Calibri" w:cs="Calibri"/>
          <w:sz w:val="22"/>
          <w:szCs w:val="22"/>
        </w:rPr>
        <w:t>Faldet i 2028 skyldes bortfald af BSS-tilskud til CIRRAU, mens faldet i 2029 skyldes udløb af REACH-bevillingen.</w:t>
      </w:r>
    </w:p>
    <w:p w14:paraId="7D882185" w14:textId="77777777" w:rsidR="00FC51A8" w:rsidRDefault="00FC51A8" w:rsidP="00BD05A9">
      <w:pPr>
        <w:rPr>
          <w:rFonts w:ascii="Calibri" w:hAnsi="Calibri" w:cs="Calibri"/>
          <w:sz w:val="22"/>
          <w:szCs w:val="22"/>
        </w:rPr>
      </w:pPr>
    </w:p>
    <w:p w14:paraId="5BFAA3C5" w14:textId="38DC4457" w:rsidR="00374102" w:rsidRPr="006F579E" w:rsidRDefault="00374102" w:rsidP="00374102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Omkostninger</w:t>
      </w:r>
      <w:r w:rsidRPr="006F579E">
        <w:rPr>
          <w:rFonts w:ascii="Calibri" w:hAnsi="Calibri" w:cs="Calibri"/>
          <w:b/>
          <w:sz w:val="22"/>
          <w:szCs w:val="22"/>
        </w:rPr>
        <w:t>:</w:t>
      </w:r>
    </w:p>
    <w:p w14:paraId="61D72A4E" w14:textId="7ED61DFC" w:rsidR="00354328" w:rsidRDefault="00B9767E" w:rsidP="00BD05A9">
      <w:pPr>
        <w:rPr>
          <w:rFonts w:ascii="Calibri" w:hAnsi="Calibri" w:cs="Calibri"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>De samlede omkostninger forventes at falde med 10 mio. kr. i perioden 2026-2029, primært som følge af reducerede lønudgifter.</w:t>
      </w:r>
    </w:p>
    <w:p w14:paraId="33DF9D89" w14:textId="77777777" w:rsidR="00B9767E" w:rsidRDefault="00B9767E" w:rsidP="00BD05A9">
      <w:pPr>
        <w:rPr>
          <w:rFonts w:ascii="Calibri" w:hAnsi="Calibri" w:cs="Calibri"/>
          <w:sz w:val="22"/>
          <w:szCs w:val="22"/>
        </w:rPr>
      </w:pPr>
    </w:p>
    <w:p w14:paraId="167EEAC0" w14:textId="77777777" w:rsidR="00BE5881" w:rsidRPr="00EA379B" w:rsidRDefault="0058317F" w:rsidP="00BD05A9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Løn</w:t>
      </w:r>
      <w:r w:rsidR="00BE5881" w:rsidRPr="00EA379B">
        <w:rPr>
          <w:rFonts w:ascii="Calibri" w:hAnsi="Calibri" w:cs="Calibri"/>
          <w:i/>
          <w:sz w:val="22"/>
          <w:szCs w:val="22"/>
        </w:rPr>
        <w:t>:</w:t>
      </w:r>
    </w:p>
    <w:p w14:paraId="0CEF19CB" w14:textId="74DC7013" w:rsidR="003D3F4D" w:rsidRDefault="00B9767E" w:rsidP="007A031B">
      <w:pPr>
        <w:rPr>
          <w:rFonts w:ascii="Calibri" w:hAnsi="Calibri" w:cs="Calibri"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>Lønudgifterne stiger med 11 mio. kr. fra ØR3 2025 til 2026. Stigningen skyldes feriehensættelse (4 mio. kr.), lønudgifter til REACH (3 mio. kr.), øgede Ph.d.-udgifter (3 mio. kr. baseret på måltal) samt en forventet styrkelse af sekretariatet, hvilket medfører en stigning i TAP-løn (2 mio. kr.).</w:t>
      </w:r>
    </w:p>
    <w:p w14:paraId="2F93A3CC" w14:textId="1DDF5157" w:rsidR="00B9767E" w:rsidRDefault="00B9767E" w:rsidP="007A031B">
      <w:pPr>
        <w:rPr>
          <w:rFonts w:ascii="Calibri" w:hAnsi="Calibri" w:cs="Calibri"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>Forbruget i ØR3 2025 er samtidig lavt grundet høj inddækning af datamanager-løn.</w:t>
      </w:r>
    </w:p>
    <w:p w14:paraId="25569AAF" w14:textId="25435E52" w:rsidR="00B9767E" w:rsidRDefault="00B9767E" w:rsidP="007A031B">
      <w:pPr>
        <w:rPr>
          <w:rFonts w:ascii="Calibri" w:hAnsi="Calibri" w:cs="Calibri"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 xml:space="preserve">I perioden 2026-2029 falder lønudgifterne med 9 mio. kr., hvilket </w:t>
      </w:r>
      <w:r w:rsidR="00177650">
        <w:rPr>
          <w:rFonts w:ascii="Calibri" w:hAnsi="Calibri" w:cs="Calibri"/>
          <w:sz w:val="22"/>
          <w:szCs w:val="22"/>
        </w:rPr>
        <w:t xml:space="preserve">primært </w:t>
      </w:r>
      <w:r w:rsidRPr="00B9767E">
        <w:rPr>
          <w:rFonts w:ascii="Calibri" w:hAnsi="Calibri" w:cs="Calibri"/>
          <w:sz w:val="22"/>
          <w:szCs w:val="22"/>
        </w:rPr>
        <w:t>skyldes, at feriehensættelsen var en engangsudgift, og at REACH-lønudgifterne er midlertidige.</w:t>
      </w:r>
    </w:p>
    <w:p w14:paraId="6540A891" w14:textId="77777777" w:rsidR="00354328" w:rsidRDefault="00354328" w:rsidP="00BD05A9">
      <w:pPr>
        <w:rPr>
          <w:rFonts w:ascii="Calibri" w:hAnsi="Calibri" w:cs="Calibri"/>
          <w:i/>
          <w:sz w:val="22"/>
          <w:szCs w:val="22"/>
        </w:rPr>
      </w:pPr>
    </w:p>
    <w:p w14:paraId="7C8FA787" w14:textId="77777777" w:rsidR="00BE5881" w:rsidRPr="00A23DB8" w:rsidRDefault="00BE5881" w:rsidP="00BD05A9">
      <w:pPr>
        <w:rPr>
          <w:rFonts w:ascii="Calibri" w:hAnsi="Calibri" w:cs="Calibri"/>
          <w:i/>
          <w:sz w:val="22"/>
          <w:szCs w:val="22"/>
        </w:rPr>
      </w:pPr>
      <w:r w:rsidRPr="00A23DB8">
        <w:rPr>
          <w:rFonts w:ascii="Calibri" w:hAnsi="Calibri" w:cs="Calibri"/>
          <w:i/>
          <w:sz w:val="22"/>
          <w:szCs w:val="22"/>
        </w:rPr>
        <w:t>Driftsomkostninger:</w:t>
      </w:r>
    </w:p>
    <w:p w14:paraId="560EB284" w14:textId="042E0EBE" w:rsidR="00354328" w:rsidRDefault="00B9767E" w:rsidP="00BD05A9">
      <w:pPr>
        <w:rPr>
          <w:rFonts w:ascii="Calibri" w:hAnsi="Calibri" w:cs="Calibri"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>Driftsomkostningerne reduceres fra 13 mio. kr. til 6 mio. kr. i budget 2026, da ØR3 2025 inkluderer engangsudgifter på 6 mio. kr. til instituttets ombygning</w:t>
      </w:r>
    </w:p>
    <w:p w14:paraId="0330C4B7" w14:textId="77777777" w:rsidR="00B9767E" w:rsidRDefault="00B9767E" w:rsidP="00BD05A9">
      <w:pPr>
        <w:rPr>
          <w:rFonts w:ascii="Calibri" w:hAnsi="Calibri" w:cs="Calibri"/>
          <w:sz w:val="22"/>
          <w:szCs w:val="22"/>
        </w:rPr>
      </w:pPr>
    </w:p>
    <w:p w14:paraId="4F988789" w14:textId="77777777" w:rsidR="005607FA" w:rsidRDefault="005607FA" w:rsidP="00BD05A9">
      <w:pPr>
        <w:rPr>
          <w:rFonts w:ascii="Calibri" w:hAnsi="Calibri" w:cs="Calibri"/>
          <w:i/>
          <w:sz w:val="22"/>
          <w:szCs w:val="22"/>
        </w:rPr>
      </w:pPr>
      <w:r w:rsidRPr="005607FA">
        <w:rPr>
          <w:rFonts w:ascii="Calibri" w:hAnsi="Calibri" w:cs="Calibri"/>
          <w:i/>
          <w:sz w:val="22"/>
          <w:szCs w:val="22"/>
        </w:rPr>
        <w:t>Projekttillæg- og OH-indt.</w:t>
      </w:r>
    </w:p>
    <w:p w14:paraId="609B2115" w14:textId="7B17255E" w:rsidR="004D3442" w:rsidRDefault="00B9767E">
      <w:pPr>
        <w:rPr>
          <w:rFonts w:ascii="Calibri" w:hAnsi="Calibri" w:cs="Calibri"/>
          <w:b/>
          <w:bCs/>
          <w:i/>
          <w:sz w:val="22"/>
          <w:szCs w:val="22"/>
        </w:rPr>
      </w:pPr>
      <w:r w:rsidRPr="00B9767E">
        <w:rPr>
          <w:rFonts w:ascii="Calibri" w:hAnsi="Calibri" w:cs="Calibri"/>
          <w:sz w:val="22"/>
          <w:szCs w:val="22"/>
        </w:rPr>
        <w:t>Overheadindtægterne er steget med 5 mio. kr. fra ØR3 2025 til budget 2026 som følge af overflytningen af Center for Registerforskning</w:t>
      </w:r>
      <w:r w:rsidR="00177650">
        <w:rPr>
          <w:rFonts w:ascii="Calibri" w:hAnsi="Calibri" w:cs="Calibri"/>
          <w:sz w:val="22"/>
          <w:szCs w:val="22"/>
        </w:rPr>
        <w:t xml:space="preserve"> fra BSS</w:t>
      </w:r>
      <w:r w:rsidRPr="00B9767E">
        <w:rPr>
          <w:rFonts w:ascii="Calibri" w:hAnsi="Calibri" w:cs="Calibri"/>
          <w:sz w:val="22"/>
          <w:szCs w:val="22"/>
        </w:rPr>
        <w:t>.</w:t>
      </w:r>
      <w:r w:rsidR="004D3442">
        <w:rPr>
          <w:rFonts w:ascii="Calibri" w:hAnsi="Calibri" w:cs="Calibri"/>
          <w:b/>
          <w:bCs/>
          <w:i/>
          <w:sz w:val="22"/>
          <w:szCs w:val="22"/>
        </w:rPr>
        <w:br w:type="page"/>
      </w:r>
    </w:p>
    <w:p w14:paraId="3C3DDF63" w14:textId="76ADC5E3" w:rsidR="004D3442" w:rsidRPr="007D0752" w:rsidRDefault="004D3442" w:rsidP="004D3442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lastRenderedPageBreak/>
        <w:t>Indeksgrafer ordinær drift</w:t>
      </w:r>
      <w:r w:rsidRPr="007D0752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sz w:val="22"/>
          <w:szCs w:val="22"/>
        </w:rPr>
        <w:t>(DR 1</w:t>
      </w:r>
      <w:r w:rsidR="004F79BD">
        <w:rPr>
          <w:rFonts w:ascii="Calibri" w:hAnsi="Calibri" w:cs="Calibri"/>
          <w:b/>
          <w:bCs/>
          <w:i/>
          <w:sz w:val="22"/>
          <w:szCs w:val="22"/>
        </w:rPr>
        <w:t xml:space="preserve"> og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2)</w:t>
      </w:r>
    </w:p>
    <w:p w14:paraId="2CAFBDAC" w14:textId="390DD899" w:rsidR="004D3442" w:rsidRDefault="00684DC7" w:rsidP="004D3442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noProof/>
        </w:rPr>
        <w:drawing>
          <wp:inline distT="0" distB="0" distL="0" distR="0" wp14:anchorId="633B2AE4" wp14:editId="49E363CA">
            <wp:extent cx="6120765" cy="4430395"/>
            <wp:effectExtent l="0" t="0" r="13335" b="8255"/>
            <wp:docPr id="116498086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2E31DB4-7410-CCD0-2921-0B700EDBAE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440E449" w14:textId="77777777" w:rsidR="00C9454E" w:rsidRDefault="00C9454E" w:rsidP="00BD05A9">
      <w:pPr>
        <w:ind w:right="-468"/>
        <w:rPr>
          <w:rFonts w:ascii="Calibri" w:hAnsi="Calibri" w:cs="Calibri"/>
          <w:b/>
        </w:rPr>
      </w:pPr>
    </w:p>
    <w:p w14:paraId="36E0E9A9" w14:textId="77777777" w:rsidR="00C9454E" w:rsidRDefault="00C9454E" w:rsidP="00BD05A9">
      <w:pPr>
        <w:ind w:right="-46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Løn</w:t>
      </w:r>
    </w:p>
    <w:p w14:paraId="3096C3CB" w14:textId="420184CE" w:rsidR="00C9454E" w:rsidRDefault="00C9454E" w:rsidP="00BD05A9">
      <w:pPr>
        <w:ind w:right="-46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Indeksgrafen for løn viser stigningen i 2026, som hovedsag</w:t>
      </w:r>
      <w:r w:rsidR="00177650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>ligt skyldes ekstra omkostninger grundet feriepengehensættelser, samt lønudgifter til REACH</w:t>
      </w:r>
    </w:p>
    <w:p w14:paraId="1F080D2F" w14:textId="77777777" w:rsidR="00C9454E" w:rsidRDefault="00C9454E" w:rsidP="00BD05A9">
      <w:pPr>
        <w:ind w:right="-468"/>
        <w:rPr>
          <w:rFonts w:ascii="Calibri" w:hAnsi="Calibri" w:cs="Calibri"/>
          <w:bCs/>
        </w:rPr>
      </w:pPr>
    </w:p>
    <w:p w14:paraId="2E971A9A" w14:textId="77777777" w:rsidR="00C9454E" w:rsidRPr="008A2385" w:rsidRDefault="00C9454E" w:rsidP="00BD05A9">
      <w:pPr>
        <w:ind w:right="-468"/>
        <w:rPr>
          <w:rFonts w:ascii="Calibri" w:hAnsi="Calibri" w:cs="Calibri"/>
          <w:b/>
        </w:rPr>
      </w:pPr>
      <w:r w:rsidRPr="008A2385">
        <w:rPr>
          <w:rFonts w:ascii="Calibri" w:hAnsi="Calibri" w:cs="Calibri"/>
          <w:b/>
        </w:rPr>
        <w:t>Driftsomkostninger</w:t>
      </w:r>
    </w:p>
    <w:p w14:paraId="7FDA9B5F" w14:textId="77777777" w:rsidR="008A2385" w:rsidRDefault="008A2385" w:rsidP="00BD05A9">
      <w:pPr>
        <w:ind w:right="-468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Indeksgrafen viser et fald efter 2025 og skyldes ekstraordinære høje omkostninger i 2025 grundet ombygning.</w:t>
      </w:r>
    </w:p>
    <w:p w14:paraId="696F8F97" w14:textId="77777777" w:rsidR="008A2385" w:rsidRDefault="008A2385" w:rsidP="00BD05A9">
      <w:pPr>
        <w:ind w:right="-468"/>
        <w:rPr>
          <w:rFonts w:ascii="Calibri" w:hAnsi="Calibri" w:cs="Calibri"/>
          <w:bCs/>
        </w:rPr>
      </w:pPr>
    </w:p>
    <w:p w14:paraId="109C3972" w14:textId="3A86C346" w:rsidR="008A2385" w:rsidRPr="008A2385" w:rsidRDefault="008A2385" w:rsidP="00BD05A9">
      <w:pPr>
        <w:ind w:right="-468"/>
        <w:rPr>
          <w:rFonts w:ascii="Calibri" w:hAnsi="Calibri" w:cs="Calibri"/>
          <w:b/>
        </w:rPr>
      </w:pPr>
      <w:r w:rsidRPr="008A2385">
        <w:rPr>
          <w:rFonts w:ascii="Calibri" w:hAnsi="Calibri" w:cs="Calibri"/>
          <w:b/>
        </w:rPr>
        <w:t>Projekttillæg- og OH-indtægter</w:t>
      </w:r>
    </w:p>
    <w:p w14:paraId="4EBC47E0" w14:textId="3A4B6B31" w:rsidR="00445ED8" w:rsidRDefault="008A2385" w:rsidP="00BD05A9">
      <w:pPr>
        <w:ind w:right="-46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</w:rPr>
        <w:t>Indeksgrafen viser en stor stigning fra 2025 grundet overflytning af Center for Registerforskning og den de deraf overførte OH-indtægter</w:t>
      </w:r>
      <w:r w:rsidR="00F910A4">
        <w:rPr>
          <w:rFonts w:ascii="Calibri" w:hAnsi="Calibri" w:cs="Calibri"/>
          <w:b/>
        </w:rPr>
        <w:br w:type="page"/>
      </w:r>
    </w:p>
    <w:p w14:paraId="018C7120" w14:textId="77777777" w:rsidR="00354328" w:rsidRPr="003B7BDA" w:rsidRDefault="00354328" w:rsidP="00DC13F6">
      <w:pPr>
        <w:ind w:right="-468"/>
        <w:rPr>
          <w:rFonts w:ascii="Calibri" w:hAnsi="Calibri" w:cs="Calibri"/>
          <w:b/>
          <w:sz w:val="22"/>
          <w:szCs w:val="22"/>
        </w:rPr>
      </w:pPr>
      <w:r w:rsidRPr="003B7BDA">
        <w:rPr>
          <w:rFonts w:ascii="Calibri" w:hAnsi="Calibri" w:cs="Calibri"/>
          <w:b/>
          <w:sz w:val="22"/>
          <w:szCs w:val="22"/>
        </w:rPr>
        <w:lastRenderedPageBreak/>
        <w:t xml:space="preserve">Resultatet for </w:t>
      </w:r>
      <w:r>
        <w:rPr>
          <w:rFonts w:ascii="Calibri" w:hAnsi="Calibri" w:cs="Calibri"/>
          <w:b/>
          <w:sz w:val="22"/>
          <w:szCs w:val="22"/>
        </w:rPr>
        <w:t>DR4 og 5</w:t>
      </w:r>
    </w:p>
    <w:p w14:paraId="03DC78D9" w14:textId="77777777" w:rsidR="00354328" w:rsidRDefault="00354328" w:rsidP="00DC13F6">
      <w:pPr>
        <w:rPr>
          <w:noProof/>
          <w:lang w:eastAsia="da-DK"/>
        </w:rPr>
      </w:pPr>
    </w:p>
    <w:p w14:paraId="12D30B56" w14:textId="798A6FB8" w:rsidR="007D0752" w:rsidRPr="007D0752" w:rsidRDefault="007D0752" w:rsidP="00DC13F6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t>R</w:t>
      </w:r>
      <w:r w:rsidRPr="007D0752">
        <w:rPr>
          <w:rFonts w:ascii="Calibri" w:hAnsi="Calibri" w:cs="Calibri"/>
          <w:b/>
          <w:bCs/>
          <w:i/>
          <w:sz w:val="22"/>
          <w:szCs w:val="22"/>
        </w:rPr>
        <w:t xml:space="preserve">esultatopgørelse </w:t>
      </w:r>
      <w:r>
        <w:rPr>
          <w:rFonts w:ascii="Calibri" w:hAnsi="Calibri" w:cs="Calibri"/>
          <w:b/>
          <w:bCs/>
          <w:i/>
          <w:sz w:val="22"/>
          <w:szCs w:val="22"/>
        </w:rPr>
        <w:t>eksterne midler (DR 4 og 5)</w:t>
      </w:r>
    </w:p>
    <w:p w14:paraId="1A7AD22E" w14:textId="5611E731" w:rsidR="00354328" w:rsidRDefault="00A75069" w:rsidP="00DC13F6">
      <w:pPr>
        <w:rPr>
          <w:rFonts w:ascii="Calibri" w:hAnsi="Calibri" w:cs="Calibri"/>
          <w:i/>
          <w:sz w:val="22"/>
          <w:szCs w:val="22"/>
        </w:rPr>
      </w:pPr>
      <w:r>
        <w:t xml:space="preserve"> </w:t>
      </w:r>
      <w:r w:rsidR="00127266" w:rsidRPr="00127266">
        <w:rPr>
          <w:noProof/>
        </w:rPr>
        <w:drawing>
          <wp:inline distT="0" distB="0" distL="0" distR="0" wp14:anchorId="29501A71" wp14:editId="4C81017E">
            <wp:extent cx="6120765" cy="2816225"/>
            <wp:effectExtent l="0" t="0" r="0" b="3175"/>
            <wp:docPr id="1626217321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1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A842" w14:textId="77777777" w:rsidR="007872E3" w:rsidRDefault="007872E3" w:rsidP="00BD05A9">
      <w:pPr>
        <w:rPr>
          <w:rFonts w:ascii="Calibri" w:hAnsi="Calibri" w:cs="Calibri"/>
          <w:sz w:val="22"/>
          <w:szCs w:val="22"/>
        </w:rPr>
      </w:pPr>
    </w:p>
    <w:p w14:paraId="65F886DD" w14:textId="1051990D" w:rsidR="00075AA0" w:rsidRDefault="00075AA0" w:rsidP="00075AA0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Alle afvigelser på DR4 fra budget 2025 til ØR3 og budget 2026 skyldes overflytninger af Center for Registerforskning. </w:t>
      </w:r>
    </w:p>
    <w:p w14:paraId="0A5AC2FA" w14:textId="77777777" w:rsidR="00075AA0" w:rsidRDefault="00075AA0" w:rsidP="00075AA0">
      <w:pPr>
        <w:rPr>
          <w:rFonts w:ascii="Calibri" w:hAnsi="Calibri" w:cs="Calibri"/>
          <w:iCs/>
        </w:rPr>
      </w:pPr>
    </w:p>
    <w:p w14:paraId="56F69981" w14:textId="25412250" w:rsidR="00075AA0" w:rsidRPr="00AF2676" w:rsidRDefault="00075AA0" w:rsidP="00075AA0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Det oprindelige budget for 2025 for DR4 og DR5 er fastholdt for både Center for Registerforskning og Institut for Folkesundheds øvrige DR4 og DR5 projekter, for ØR3 og Budget 26-29 idet der på nuværende tidspunkt ikke foreligger bedre viden. </w:t>
      </w:r>
    </w:p>
    <w:p w14:paraId="11E274BC" w14:textId="77777777" w:rsidR="00354328" w:rsidRPr="00354328" w:rsidRDefault="00354328" w:rsidP="00DC13F6">
      <w:pPr>
        <w:rPr>
          <w:rFonts w:ascii="Calibri" w:hAnsi="Calibri" w:cs="Calibri"/>
          <w:sz w:val="22"/>
          <w:szCs w:val="22"/>
        </w:rPr>
      </w:pPr>
    </w:p>
    <w:p w14:paraId="37A50D7A" w14:textId="77777777" w:rsidR="00354328" w:rsidRDefault="00354328" w:rsidP="00DC13F6">
      <w:pPr>
        <w:rPr>
          <w:rFonts w:ascii="Calibri" w:hAnsi="Calibri" w:cs="Calibri"/>
          <w:i/>
          <w:sz w:val="22"/>
          <w:szCs w:val="22"/>
        </w:rPr>
      </w:pPr>
    </w:p>
    <w:p w14:paraId="215E97E1" w14:textId="77777777" w:rsidR="00354328" w:rsidRDefault="00354328" w:rsidP="00DC13F6">
      <w:pPr>
        <w:rPr>
          <w:rFonts w:ascii="Calibri" w:hAnsi="Calibri" w:cs="Calibri"/>
          <w:sz w:val="22"/>
          <w:szCs w:val="22"/>
        </w:rPr>
      </w:pPr>
    </w:p>
    <w:p w14:paraId="75CD58F9" w14:textId="77777777" w:rsidR="00354328" w:rsidRDefault="00354328" w:rsidP="00DC13F6">
      <w:pPr>
        <w:rPr>
          <w:rFonts w:ascii="Calibri" w:hAnsi="Calibri" w:cs="Calibri"/>
          <w:b/>
          <w:sz w:val="22"/>
          <w:szCs w:val="22"/>
        </w:rPr>
      </w:pPr>
    </w:p>
    <w:p w14:paraId="61DB4D01" w14:textId="77777777" w:rsidR="00354328" w:rsidRDefault="00354328" w:rsidP="00DC13F6">
      <w:pPr>
        <w:rPr>
          <w:rFonts w:ascii="Calibri" w:hAnsi="Calibri" w:cs="Calibri"/>
          <w:b/>
          <w:sz w:val="22"/>
          <w:szCs w:val="22"/>
        </w:rPr>
      </w:pPr>
    </w:p>
    <w:p w14:paraId="06C4C9E0" w14:textId="77777777" w:rsidR="004D3442" w:rsidRDefault="004D3442" w:rsidP="004D3442">
      <w:pPr>
        <w:rPr>
          <w:rFonts w:ascii="Calibri" w:hAnsi="Calibri" w:cs="Calibri"/>
          <w:sz w:val="22"/>
          <w:szCs w:val="22"/>
        </w:rPr>
      </w:pPr>
    </w:p>
    <w:p w14:paraId="25193A57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50035D2A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7CAD05C6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28514DCC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0812634C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4AA7ABD9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32EA1C1D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311A47DE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40AECE97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44FDE884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0671F834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3AB72496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5D371F8C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7F505CFB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6C471E80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240DAAB0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03C6EDDE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76A6744F" w14:textId="77777777" w:rsidR="00412358" w:rsidRDefault="00412358" w:rsidP="004D3442">
      <w:pPr>
        <w:rPr>
          <w:rFonts w:ascii="Calibri" w:hAnsi="Calibri" w:cs="Calibri"/>
          <w:b/>
          <w:bCs/>
          <w:i/>
          <w:sz w:val="22"/>
          <w:szCs w:val="22"/>
        </w:rPr>
      </w:pPr>
    </w:p>
    <w:p w14:paraId="786836DA" w14:textId="01A01DDE" w:rsidR="004D3442" w:rsidRPr="007D0752" w:rsidRDefault="004D3442" w:rsidP="004D3442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 w:cs="Calibri"/>
          <w:b/>
          <w:bCs/>
          <w:i/>
          <w:sz w:val="22"/>
          <w:szCs w:val="22"/>
        </w:rPr>
        <w:lastRenderedPageBreak/>
        <w:t>Indeksgraf eksterne tilskud (DR4 og 5)</w:t>
      </w:r>
    </w:p>
    <w:p w14:paraId="510D3BD6" w14:textId="6BC52AFA" w:rsidR="004D3442" w:rsidRDefault="00684DC7" w:rsidP="004D3442">
      <w:pPr>
        <w:rPr>
          <w:rFonts w:ascii="Calibri" w:hAnsi="Calibri" w:cs="Calibri"/>
          <w:b/>
          <w:bCs/>
          <w:i/>
          <w:sz w:val="22"/>
          <w:szCs w:val="22"/>
        </w:rPr>
      </w:pPr>
      <w:r>
        <w:rPr>
          <w:noProof/>
        </w:rPr>
        <w:drawing>
          <wp:inline distT="0" distB="0" distL="0" distR="0" wp14:anchorId="060EB3DB" wp14:editId="65CDC12A">
            <wp:extent cx="6120765" cy="4430395"/>
            <wp:effectExtent l="0" t="0" r="13335" b="8255"/>
            <wp:docPr id="161317815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2E31DB4-7410-CCD0-2921-0B700EDBAE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A9CDD3E" w14:textId="3ABE71C6" w:rsidR="004D3442" w:rsidRDefault="004D3442" w:rsidP="00DC13F6">
      <w:pPr>
        <w:rPr>
          <w:rFonts w:ascii="Calibri" w:hAnsi="Calibri" w:cs="Calibri"/>
          <w:sz w:val="22"/>
          <w:szCs w:val="22"/>
        </w:rPr>
      </w:pPr>
    </w:p>
    <w:p w14:paraId="529EB21B" w14:textId="3E37FBD3" w:rsidR="00412358" w:rsidRDefault="00412358" w:rsidP="00DC13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Indeksgraferne viser stigning i alle poster som skyldes overflytningen af Center for Registerforskning</w:t>
      </w:r>
      <w:r w:rsidR="00177650">
        <w:rPr>
          <w:rFonts w:ascii="Calibri" w:hAnsi="Calibri" w:cs="Calibri"/>
          <w:sz w:val="22"/>
          <w:szCs w:val="22"/>
        </w:rPr>
        <w:t xml:space="preserve"> fra BSS</w:t>
      </w:r>
      <w:r>
        <w:rPr>
          <w:rFonts w:ascii="Calibri" w:hAnsi="Calibri" w:cs="Calibri"/>
          <w:sz w:val="22"/>
          <w:szCs w:val="22"/>
        </w:rPr>
        <w:t>.</w:t>
      </w:r>
    </w:p>
    <w:p w14:paraId="6074B59D" w14:textId="77777777" w:rsidR="004D3442" w:rsidRDefault="004D3442" w:rsidP="00DC13F6">
      <w:pPr>
        <w:rPr>
          <w:rFonts w:ascii="Calibri" w:hAnsi="Calibri" w:cs="Calibri"/>
          <w:sz w:val="22"/>
          <w:szCs w:val="22"/>
        </w:rPr>
      </w:pPr>
    </w:p>
    <w:p w14:paraId="5FF2FE67" w14:textId="77777777" w:rsidR="00627631" w:rsidRDefault="00627631" w:rsidP="00DC13F6">
      <w:pPr>
        <w:rPr>
          <w:rFonts w:ascii="Calibri" w:hAnsi="Calibri" w:cs="Calibri"/>
          <w:sz w:val="22"/>
          <w:szCs w:val="22"/>
        </w:rPr>
      </w:pPr>
    </w:p>
    <w:p w14:paraId="03F3BB47" w14:textId="6AFF3A0C" w:rsidR="00F910A4" w:rsidRDefault="00CF77CC" w:rsidP="00DC13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Institut </w:t>
      </w:r>
      <w:r w:rsidR="00075AA0">
        <w:rPr>
          <w:rFonts w:ascii="Calibri" w:hAnsi="Calibri" w:cs="Calibri"/>
          <w:sz w:val="22"/>
          <w:szCs w:val="22"/>
        </w:rPr>
        <w:t>for Folkesundhed</w:t>
      </w:r>
      <w:r w:rsidR="00F910A4" w:rsidRPr="003B7BDA">
        <w:rPr>
          <w:rFonts w:ascii="Calibri" w:hAnsi="Calibri" w:cs="Calibri"/>
          <w:sz w:val="22"/>
          <w:szCs w:val="22"/>
        </w:rPr>
        <w:t xml:space="preserve">, </w:t>
      </w:r>
    </w:p>
    <w:p w14:paraId="38645568" w14:textId="77777777" w:rsidR="00CF77CC" w:rsidRDefault="00CF77CC" w:rsidP="00DC13F6">
      <w:pPr>
        <w:rPr>
          <w:rFonts w:ascii="Calibri" w:hAnsi="Calibri" w:cs="Calibri"/>
          <w:sz w:val="22"/>
          <w:szCs w:val="22"/>
        </w:rPr>
      </w:pPr>
    </w:p>
    <w:p w14:paraId="7C2D3C9C" w14:textId="77777777" w:rsidR="00CF77CC" w:rsidRDefault="00CF77CC" w:rsidP="00DC13F6">
      <w:pPr>
        <w:rPr>
          <w:rFonts w:ascii="Calibri" w:hAnsi="Calibri" w:cs="Calibri"/>
          <w:sz w:val="22"/>
          <w:szCs w:val="22"/>
        </w:rPr>
      </w:pPr>
    </w:p>
    <w:p w14:paraId="6E7B37F6" w14:textId="77777777" w:rsidR="00CF77CC" w:rsidRPr="003B7BDA" w:rsidRDefault="00CF77CC" w:rsidP="00DC13F6">
      <w:pPr>
        <w:rPr>
          <w:rFonts w:ascii="Calibri" w:hAnsi="Calibri" w:cs="Calibri"/>
          <w:sz w:val="22"/>
          <w:szCs w:val="22"/>
        </w:rPr>
      </w:pPr>
    </w:p>
    <w:p w14:paraId="081ECBFC" w14:textId="77777777" w:rsidR="00F910A4" w:rsidRPr="003B7BDA" w:rsidRDefault="00F910A4" w:rsidP="00DC13F6">
      <w:pPr>
        <w:rPr>
          <w:rFonts w:ascii="Calibri" w:hAnsi="Calibri" w:cs="Calibri"/>
          <w:sz w:val="22"/>
          <w:szCs w:val="22"/>
        </w:rPr>
      </w:pPr>
    </w:p>
    <w:p w14:paraId="20844084" w14:textId="77777777" w:rsidR="00F910A4" w:rsidRPr="003B7BDA" w:rsidRDefault="00F910A4" w:rsidP="00DC13F6">
      <w:pPr>
        <w:rPr>
          <w:rFonts w:ascii="Calibri" w:hAnsi="Calibri" w:cs="Calibri"/>
          <w:sz w:val="22"/>
          <w:szCs w:val="22"/>
        </w:rPr>
      </w:pPr>
      <w:r w:rsidRPr="003B7BDA">
        <w:rPr>
          <w:rFonts w:ascii="Calibri" w:hAnsi="Calibri" w:cs="Calibri"/>
          <w:sz w:val="22"/>
          <w:szCs w:val="22"/>
        </w:rPr>
        <w:t>_____________</w:t>
      </w:r>
      <w:r w:rsidRPr="003B7BDA">
        <w:rPr>
          <w:rFonts w:ascii="Calibri" w:hAnsi="Calibri" w:cs="Calibri"/>
          <w:sz w:val="22"/>
          <w:szCs w:val="22"/>
        </w:rPr>
        <w:tab/>
      </w:r>
      <w:r w:rsidRPr="003B7BDA">
        <w:rPr>
          <w:rFonts w:ascii="Calibri" w:hAnsi="Calibri" w:cs="Calibri"/>
          <w:sz w:val="22"/>
          <w:szCs w:val="22"/>
        </w:rPr>
        <w:tab/>
      </w:r>
      <w:r w:rsidRPr="003B7BDA">
        <w:rPr>
          <w:rFonts w:ascii="Calibri" w:hAnsi="Calibri" w:cs="Calibri"/>
          <w:sz w:val="22"/>
          <w:szCs w:val="22"/>
        </w:rPr>
        <w:tab/>
        <w:t>___________________________________</w:t>
      </w:r>
    </w:p>
    <w:p w14:paraId="0CABC3C0" w14:textId="0C230C54" w:rsidR="00F910A4" w:rsidRDefault="00075AA0" w:rsidP="00DC13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26-09-2025</w:t>
      </w:r>
      <w:r w:rsidR="00F910A4" w:rsidRPr="003B7BDA">
        <w:rPr>
          <w:rFonts w:ascii="Calibri" w:hAnsi="Calibri" w:cs="Calibri"/>
          <w:sz w:val="22"/>
          <w:szCs w:val="22"/>
        </w:rPr>
        <w:tab/>
      </w:r>
      <w:r w:rsidR="00F910A4" w:rsidRPr="003B7BDA">
        <w:rPr>
          <w:rFonts w:ascii="Calibri" w:hAnsi="Calibri" w:cs="Calibri"/>
          <w:sz w:val="22"/>
          <w:szCs w:val="22"/>
        </w:rPr>
        <w:tab/>
      </w:r>
      <w:r w:rsidR="00F910A4" w:rsidRPr="003B7BD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Michael Baggesen Klitgaard</w:t>
      </w:r>
    </w:p>
    <w:p w14:paraId="34814E47" w14:textId="60AAEA97" w:rsidR="00F62C1A" w:rsidRPr="003B7BDA" w:rsidRDefault="00F62C1A" w:rsidP="00DC13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Institutleder på Institut </w:t>
      </w:r>
      <w:r w:rsidR="00075AA0">
        <w:rPr>
          <w:rFonts w:ascii="Calibri" w:hAnsi="Calibri" w:cs="Calibri"/>
          <w:sz w:val="22"/>
          <w:szCs w:val="22"/>
        </w:rPr>
        <w:t>for Folkesundhed</w:t>
      </w:r>
    </w:p>
    <w:p w14:paraId="5FA4D61A" w14:textId="77777777" w:rsidR="009209E2" w:rsidRPr="003B7BDA" w:rsidRDefault="009209E2" w:rsidP="00DC13F6">
      <w:pPr>
        <w:ind w:right="-468"/>
        <w:rPr>
          <w:rFonts w:ascii="Calibri" w:hAnsi="Calibri" w:cs="Calibri"/>
          <w:sz w:val="22"/>
          <w:szCs w:val="22"/>
        </w:rPr>
      </w:pPr>
    </w:p>
    <w:p w14:paraId="51B69B41" w14:textId="2AE2F8FE" w:rsidR="00DB09D2" w:rsidRDefault="00DB09D2" w:rsidP="00DC13F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E31BFE2" w14:textId="11A989A4" w:rsidR="00DB09D2" w:rsidRPr="0065490D" w:rsidRDefault="00DB09D2" w:rsidP="00DC13F6">
      <w:pPr>
        <w:rPr>
          <w:rFonts w:asciiTheme="majorHAnsi" w:hAnsiTheme="majorHAnsi" w:cstheme="majorHAnsi"/>
          <w:b/>
          <w:sz w:val="32"/>
          <w:szCs w:val="32"/>
        </w:rPr>
      </w:pPr>
      <w:r w:rsidRPr="0065490D">
        <w:rPr>
          <w:rFonts w:asciiTheme="majorHAnsi" w:hAnsiTheme="majorHAnsi" w:cstheme="majorHAnsi"/>
          <w:b/>
          <w:sz w:val="32"/>
          <w:szCs w:val="32"/>
        </w:rPr>
        <w:lastRenderedPageBreak/>
        <w:t>Bilag med personale</w:t>
      </w:r>
      <w:r>
        <w:rPr>
          <w:rFonts w:asciiTheme="majorHAnsi" w:hAnsiTheme="majorHAnsi" w:cstheme="majorHAnsi"/>
          <w:b/>
          <w:sz w:val="32"/>
          <w:szCs w:val="32"/>
        </w:rPr>
        <w:t>udviklings</w:t>
      </w:r>
      <w:r w:rsidRPr="0065490D">
        <w:rPr>
          <w:rFonts w:asciiTheme="majorHAnsi" w:hAnsiTheme="majorHAnsi" w:cstheme="majorHAnsi"/>
          <w:b/>
          <w:sz w:val="32"/>
          <w:szCs w:val="32"/>
        </w:rPr>
        <w:t>tabeller</w:t>
      </w:r>
      <w:r>
        <w:rPr>
          <w:rFonts w:asciiTheme="majorHAnsi" w:hAnsiTheme="majorHAnsi" w:cstheme="majorHAnsi"/>
          <w:b/>
          <w:sz w:val="32"/>
          <w:szCs w:val="32"/>
        </w:rPr>
        <w:br/>
      </w:r>
    </w:p>
    <w:p w14:paraId="0B7F8817" w14:textId="70D08C4F" w:rsidR="0091103A" w:rsidRDefault="00DB09D2" w:rsidP="0091103A">
      <w:pPr>
        <w:rPr>
          <w:b/>
          <w:iCs/>
        </w:rPr>
      </w:pPr>
      <w:r w:rsidRPr="00C452AC">
        <w:rPr>
          <w:b/>
        </w:rPr>
        <w:t xml:space="preserve">Udvikling i løn </w:t>
      </w:r>
      <w:r w:rsidR="0091103A">
        <w:rPr>
          <w:b/>
          <w:iCs/>
        </w:rPr>
        <w:t>Institut for Folkesundhed</w:t>
      </w:r>
    </w:p>
    <w:p w14:paraId="7D960497" w14:textId="77777777" w:rsidR="0091103A" w:rsidRDefault="0091103A" w:rsidP="0091103A">
      <w:pPr>
        <w:rPr>
          <w:b/>
          <w:iCs/>
        </w:rPr>
      </w:pPr>
    </w:p>
    <w:p w14:paraId="0A42E2C7" w14:textId="59C4CDE5" w:rsidR="00DB09D2" w:rsidRPr="00EB3117" w:rsidRDefault="00DB09D2" w:rsidP="0091103A">
      <w:pPr>
        <w:rPr>
          <w:b/>
        </w:rPr>
      </w:pPr>
      <w:r>
        <w:t>Lønkroner pr. stillingskategori DR1+2</w:t>
      </w:r>
      <w:r>
        <w:br/>
      </w:r>
      <w:r w:rsidR="0091103A" w:rsidRPr="0091103A">
        <w:rPr>
          <w:noProof/>
        </w:rPr>
        <w:drawing>
          <wp:inline distT="0" distB="0" distL="0" distR="0" wp14:anchorId="73ABF108" wp14:editId="2F37FE11">
            <wp:extent cx="6120765" cy="1713230"/>
            <wp:effectExtent l="0" t="0" r="0" b="1270"/>
            <wp:docPr id="686937692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2AA69" w14:textId="6248E3E7" w:rsidR="00DB09D2" w:rsidRDefault="00DB09D2" w:rsidP="00DC13F6">
      <w:r>
        <w:br/>
        <w:t>Lønkroner pr. stillingskategori – alle delregnskaber</w:t>
      </w:r>
      <w:r>
        <w:br/>
      </w:r>
      <w:r w:rsidR="0091103A" w:rsidRPr="0091103A">
        <w:rPr>
          <w:noProof/>
        </w:rPr>
        <w:drawing>
          <wp:inline distT="0" distB="0" distL="0" distR="0" wp14:anchorId="2E9829F2" wp14:editId="1A9E5E1E">
            <wp:extent cx="6120765" cy="1713230"/>
            <wp:effectExtent l="0" t="0" r="0" b="1270"/>
            <wp:docPr id="130995406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1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047DF" w14:textId="70B7E287" w:rsidR="00DB09D2" w:rsidRDefault="00DB09D2" w:rsidP="00DC13F6">
      <w:r>
        <w:br/>
        <w:t>Vejledende antal årsværk ud fra R2</w:t>
      </w:r>
      <w:r w:rsidR="006C07E7">
        <w:t>2</w:t>
      </w:r>
      <w:r>
        <w:t>-gennemsnitsløn – alle delregnskaber</w:t>
      </w:r>
      <w:r>
        <w:br/>
      </w:r>
      <w:r w:rsidR="0091103A" w:rsidRPr="0091103A">
        <w:rPr>
          <w:noProof/>
        </w:rPr>
        <w:drawing>
          <wp:inline distT="0" distB="0" distL="0" distR="0" wp14:anchorId="783ABC04" wp14:editId="32D5F577">
            <wp:extent cx="6120765" cy="1728470"/>
            <wp:effectExtent l="0" t="0" r="0" b="5080"/>
            <wp:docPr id="2118848358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72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22C07" w14:textId="77777777" w:rsidR="00DB09D2" w:rsidRDefault="00DB09D2" w:rsidP="00DC13F6">
      <w:pPr>
        <w:rPr>
          <w:b/>
        </w:rPr>
      </w:pPr>
    </w:p>
    <w:p w14:paraId="6076F213" w14:textId="77777777" w:rsidR="004A7ABD" w:rsidRPr="009209E2" w:rsidRDefault="004A7ABD" w:rsidP="00DC13F6">
      <w:pPr>
        <w:rPr>
          <w:rFonts w:ascii="Calibri" w:hAnsi="Calibri" w:cs="Calibri"/>
          <w:sz w:val="22"/>
          <w:szCs w:val="22"/>
        </w:rPr>
      </w:pPr>
    </w:p>
    <w:sectPr w:rsidR="004A7ABD" w:rsidRPr="009209E2" w:rsidSect="009A251C">
      <w:headerReference w:type="default" r:id="rId17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1FCE" w14:textId="77777777" w:rsidR="00B448DC" w:rsidRDefault="00B448DC">
      <w:r>
        <w:separator/>
      </w:r>
    </w:p>
  </w:endnote>
  <w:endnote w:type="continuationSeparator" w:id="0">
    <w:p w14:paraId="3746A9FD" w14:textId="77777777" w:rsidR="00B448DC" w:rsidRDefault="00B4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 Passata">
    <w:altName w:val="Corbel"/>
    <w:panose1 w:val="020B0503030502030804"/>
    <w:charset w:val="00"/>
    <w:family w:val="swiss"/>
    <w:pitch w:val="variable"/>
    <w:sig w:usb0="A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221F" w14:textId="77777777" w:rsidR="00B448DC" w:rsidRDefault="00B448DC">
      <w:r>
        <w:separator/>
      </w:r>
    </w:p>
  </w:footnote>
  <w:footnote w:type="continuationSeparator" w:id="0">
    <w:p w14:paraId="574C67D9" w14:textId="77777777" w:rsidR="00B448DC" w:rsidRDefault="00B4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5713" w14:textId="77777777" w:rsidR="00247BE5" w:rsidRPr="008C3214" w:rsidRDefault="00247BE5" w:rsidP="00A86A51">
    <w:pPr>
      <w:pStyle w:val="Template-Parentlogoname"/>
      <w:rPr>
        <w:rFonts w:ascii="Calibri" w:hAnsi="Calibri" w:cs="Calibri"/>
        <w:szCs w:val="22"/>
      </w:rPr>
    </w:pPr>
    <w:bookmarkStart w:id="1" w:name="SD_OFF_Parent_N2"/>
    <w:r w:rsidRPr="008C3214">
      <w:rPr>
        <w:rFonts w:ascii="Calibri" w:hAnsi="Calibri" w:cs="Calibri"/>
        <w:szCs w:val="22"/>
      </w:rPr>
      <w:t>Health</w:t>
    </w:r>
    <w:bookmarkStart w:id="2" w:name="SD_OFF_Unitname_N2"/>
    <w:bookmarkEnd w:id="1"/>
  </w:p>
  <w:p w14:paraId="3F076B0A" w14:textId="179F0A4D" w:rsidR="00672679" w:rsidRPr="008C3214" w:rsidRDefault="00672679" w:rsidP="00A86A51">
    <w:pPr>
      <w:pStyle w:val="Template-Parentlogoname"/>
      <w:rPr>
        <w:rFonts w:ascii="Calibri" w:hAnsi="Calibri" w:cs="Calibri"/>
        <w:szCs w:val="22"/>
      </w:rPr>
    </w:pPr>
    <w:r w:rsidRPr="008C3214">
      <w:rPr>
        <w:rFonts w:ascii="Calibri" w:hAnsi="Calibri" w:cs="Calibri"/>
        <w:szCs w:val="22"/>
      </w:rPr>
      <w:t xml:space="preserve">InsTitut </w:t>
    </w:r>
    <w:r w:rsidR="00CA20EE">
      <w:rPr>
        <w:rFonts w:ascii="Calibri" w:hAnsi="Calibri" w:cs="Calibri"/>
        <w:szCs w:val="22"/>
      </w:rPr>
      <w:t>for folkesundhed</w:t>
    </w:r>
  </w:p>
  <w:p w14:paraId="1AA23122" w14:textId="46E9FB52" w:rsidR="00247BE5" w:rsidRPr="008C3214" w:rsidRDefault="00452E22" w:rsidP="0032160F">
    <w:pPr>
      <w:pStyle w:val="Template-Unitnamelogoname"/>
      <w:rPr>
        <w:rFonts w:ascii="Calibri" w:hAnsi="Calibri" w:cs="Calibri"/>
        <w:sz w:val="22"/>
        <w:szCs w:val="22"/>
        <w:u w:val="single"/>
      </w:rPr>
    </w:pPr>
    <w:r w:rsidRPr="008C3214">
      <w:rPr>
        <w:rFonts w:ascii="Calibri" w:hAnsi="Calibri" w:cs="Calibri"/>
        <w:sz w:val="22"/>
        <w:szCs w:val="22"/>
        <w:u w:val="single"/>
      </w:rPr>
      <w:t>Økonomirapport</w:t>
    </w:r>
    <w:r w:rsidR="008C3214" w:rsidRPr="008C3214">
      <w:rPr>
        <w:rFonts w:ascii="Calibri" w:hAnsi="Calibri" w:cs="Calibri"/>
        <w:sz w:val="22"/>
        <w:szCs w:val="22"/>
        <w:u w:val="single"/>
      </w:rPr>
      <w:t xml:space="preserve"> ØR3 2025 og</w:t>
    </w:r>
    <w:r w:rsidR="008C3214">
      <w:rPr>
        <w:rFonts w:ascii="Calibri" w:hAnsi="Calibri" w:cs="Calibri"/>
        <w:sz w:val="22"/>
        <w:szCs w:val="22"/>
        <w:u w:val="single"/>
      </w:rPr>
      <w:t xml:space="preserve"> </w:t>
    </w:r>
    <w:r w:rsidRPr="008C3214">
      <w:rPr>
        <w:rFonts w:ascii="Calibri" w:hAnsi="Calibri" w:cs="Calibri"/>
        <w:sz w:val="22"/>
        <w:szCs w:val="22"/>
        <w:u w:val="single"/>
      </w:rPr>
      <w:t>Budget 202</w:t>
    </w:r>
    <w:r w:rsidR="008C3214">
      <w:rPr>
        <w:rFonts w:ascii="Calibri" w:hAnsi="Calibri" w:cs="Calibri"/>
        <w:sz w:val="22"/>
        <w:szCs w:val="22"/>
        <w:u w:val="single"/>
      </w:rPr>
      <w:t>6</w:t>
    </w:r>
    <w:r w:rsidR="001C4573" w:rsidRPr="008C3214">
      <w:rPr>
        <w:rFonts w:ascii="Calibri" w:hAnsi="Calibri" w:cs="Calibri"/>
        <w:sz w:val="22"/>
        <w:szCs w:val="22"/>
        <w:u w:val="single"/>
      </w:rPr>
      <w:t>-2</w:t>
    </w:r>
    <w:r w:rsidR="008C3214">
      <w:rPr>
        <w:rFonts w:ascii="Calibri" w:hAnsi="Calibri" w:cs="Calibri"/>
        <w:sz w:val="22"/>
        <w:szCs w:val="22"/>
        <w:u w:val="single"/>
      </w:rPr>
      <w:t>9</w:t>
    </w:r>
    <w:r w:rsidRPr="008C3214">
      <w:rPr>
        <w:rFonts w:ascii="Calibri" w:hAnsi="Calibri" w:cs="Calibri"/>
        <w:sz w:val="22"/>
        <w:szCs w:val="22"/>
        <w:u w:val="single"/>
      </w:rPr>
      <w:t xml:space="preserve">                           </w:t>
    </w:r>
    <w:r w:rsidR="008C3214">
      <w:rPr>
        <w:rFonts w:ascii="Calibri" w:hAnsi="Calibri" w:cs="Calibri"/>
        <w:sz w:val="22"/>
        <w:szCs w:val="22"/>
        <w:u w:val="single"/>
      </w:rPr>
      <w:t xml:space="preserve"> </w:t>
    </w:r>
    <w:r w:rsidRPr="008C3214">
      <w:rPr>
        <w:rFonts w:ascii="Calibri" w:hAnsi="Calibri" w:cs="Calibri"/>
        <w:sz w:val="22"/>
        <w:szCs w:val="22"/>
        <w:u w:val="single"/>
      </w:rPr>
      <w:t xml:space="preserve">   </w:t>
    </w:r>
    <w:r w:rsidR="00247BE5" w:rsidRPr="008C3214">
      <w:rPr>
        <w:rFonts w:ascii="Calibri" w:hAnsi="Calibri" w:cs="Calibri"/>
        <w:sz w:val="22"/>
        <w:szCs w:val="22"/>
        <w:u w:val="single"/>
      </w:rPr>
      <w:t xml:space="preserve">                 </w:t>
    </w:r>
    <w:r w:rsidR="00247BE5" w:rsidRPr="008C3214">
      <w:rPr>
        <w:rFonts w:ascii="Calibri" w:hAnsi="Calibri" w:cs="Calibri"/>
        <w:sz w:val="22"/>
        <w:szCs w:val="22"/>
        <w:u w:val="single"/>
      </w:rPr>
      <w:tab/>
    </w:r>
    <w:r w:rsidRPr="008C3214">
      <w:rPr>
        <w:rFonts w:ascii="Calibri" w:hAnsi="Calibri" w:cs="Calibri"/>
        <w:sz w:val="22"/>
        <w:szCs w:val="22"/>
        <w:u w:val="single"/>
      </w:rPr>
      <w:t xml:space="preserve">       </w:t>
    </w:r>
    <w:r w:rsidR="00247BE5" w:rsidRPr="008C3214">
      <w:rPr>
        <w:rFonts w:ascii="Calibri" w:hAnsi="Calibri" w:cs="Calibri"/>
        <w:sz w:val="22"/>
        <w:szCs w:val="22"/>
        <w:u w:val="single"/>
      </w:rPr>
      <w:tab/>
      <w:t xml:space="preserve">SIDE </w: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begin"/>
    </w:r>
    <w:r w:rsidR="00247BE5" w:rsidRPr="008C3214">
      <w:rPr>
        <w:rFonts w:ascii="Calibri" w:hAnsi="Calibri" w:cs="Calibri"/>
        <w:sz w:val="22"/>
        <w:szCs w:val="22"/>
        <w:u w:val="single"/>
      </w:rPr>
      <w:instrText xml:space="preserve"> PAGE </w:instrTex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separate"/>
    </w:r>
    <w:r w:rsidR="008B3947" w:rsidRPr="008C3214">
      <w:rPr>
        <w:rFonts w:ascii="Calibri" w:hAnsi="Calibri" w:cs="Calibri"/>
        <w:sz w:val="22"/>
        <w:szCs w:val="22"/>
        <w:u w:val="single"/>
      </w:rPr>
      <w:t>2</w: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end"/>
    </w:r>
    <w:r w:rsidR="00247BE5" w:rsidRPr="008C3214">
      <w:rPr>
        <w:rFonts w:ascii="Calibri" w:hAnsi="Calibri" w:cs="Calibri"/>
        <w:sz w:val="22"/>
        <w:szCs w:val="22"/>
        <w:u w:val="single"/>
      </w:rPr>
      <w:t>/</w: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begin"/>
    </w:r>
    <w:r w:rsidR="00247BE5" w:rsidRPr="008C3214">
      <w:rPr>
        <w:rFonts w:ascii="Calibri" w:hAnsi="Calibri" w:cs="Calibri"/>
        <w:sz w:val="22"/>
        <w:szCs w:val="22"/>
        <w:u w:val="single"/>
      </w:rPr>
      <w:instrText xml:space="preserve"> NUMPAGES </w:instrTex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separate"/>
    </w:r>
    <w:r w:rsidR="008B3947" w:rsidRPr="008C3214">
      <w:rPr>
        <w:rFonts w:ascii="Calibri" w:hAnsi="Calibri" w:cs="Calibri"/>
        <w:sz w:val="22"/>
        <w:szCs w:val="22"/>
        <w:u w:val="single"/>
      </w:rPr>
      <w:t>7</w:t>
    </w:r>
    <w:r w:rsidR="00247BE5" w:rsidRPr="009062D2">
      <w:rPr>
        <w:rFonts w:ascii="Calibri" w:hAnsi="Calibri" w:cs="Calibri"/>
        <w:sz w:val="22"/>
        <w:szCs w:val="22"/>
        <w:u w:val="single"/>
      </w:rPr>
      <w:fldChar w:fldCharType="end"/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625"/>
    <w:multiLevelType w:val="hybridMultilevel"/>
    <w:tmpl w:val="39282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67175"/>
    <w:multiLevelType w:val="hybridMultilevel"/>
    <w:tmpl w:val="70B40FE2"/>
    <w:lvl w:ilvl="0" w:tplc="AA4468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D7471B0"/>
    <w:multiLevelType w:val="hybridMultilevel"/>
    <w:tmpl w:val="1466D7D6"/>
    <w:lvl w:ilvl="0" w:tplc="29F065A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7E48"/>
    <w:multiLevelType w:val="hybridMultilevel"/>
    <w:tmpl w:val="8610B792"/>
    <w:lvl w:ilvl="0" w:tplc="066E1FCE">
      <w:start w:val="78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3C82"/>
    <w:multiLevelType w:val="hybridMultilevel"/>
    <w:tmpl w:val="6276D6FA"/>
    <w:lvl w:ilvl="0" w:tplc="F1A602E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1" w:tplc="BF7A60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449660DF"/>
    <w:multiLevelType w:val="hybridMultilevel"/>
    <w:tmpl w:val="50B6E1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E09A8"/>
    <w:multiLevelType w:val="hybridMultilevel"/>
    <w:tmpl w:val="441C71E8"/>
    <w:lvl w:ilvl="0" w:tplc="040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5AE7152D"/>
    <w:multiLevelType w:val="hybridMultilevel"/>
    <w:tmpl w:val="5EF42F0C"/>
    <w:lvl w:ilvl="0" w:tplc="D718708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B2482"/>
    <w:multiLevelType w:val="hybridMultilevel"/>
    <w:tmpl w:val="A20ADA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D4B8F"/>
    <w:multiLevelType w:val="hybridMultilevel"/>
    <w:tmpl w:val="DB083B0C"/>
    <w:lvl w:ilvl="0" w:tplc="12C8C6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1743">
    <w:abstractNumId w:val="4"/>
  </w:num>
  <w:num w:numId="2" w16cid:durableId="1463500356">
    <w:abstractNumId w:val="1"/>
  </w:num>
  <w:num w:numId="3" w16cid:durableId="1573664514">
    <w:abstractNumId w:val="3"/>
  </w:num>
  <w:num w:numId="4" w16cid:durableId="359475612">
    <w:abstractNumId w:val="2"/>
  </w:num>
  <w:num w:numId="5" w16cid:durableId="569266870">
    <w:abstractNumId w:val="9"/>
  </w:num>
  <w:num w:numId="6" w16cid:durableId="1904371834">
    <w:abstractNumId w:val="0"/>
  </w:num>
  <w:num w:numId="7" w16cid:durableId="172964626">
    <w:abstractNumId w:val="7"/>
  </w:num>
  <w:num w:numId="8" w16cid:durableId="1990137471">
    <w:abstractNumId w:val="6"/>
  </w:num>
  <w:num w:numId="9" w16cid:durableId="1325476361">
    <w:abstractNumId w:val="5"/>
  </w:num>
  <w:num w:numId="10" w16cid:durableId="1002666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2B6"/>
    <w:rsid w:val="0001105B"/>
    <w:rsid w:val="00013556"/>
    <w:rsid w:val="000143B1"/>
    <w:rsid w:val="00015753"/>
    <w:rsid w:val="0001667C"/>
    <w:rsid w:val="000171EC"/>
    <w:rsid w:val="00017FF5"/>
    <w:rsid w:val="000211A4"/>
    <w:rsid w:val="00023E57"/>
    <w:rsid w:val="0003162A"/>
    <w:rsid w:val="00032958"/>
    <w:rsid w:val="00033ECC"/>
    <w:rsid w:val="00033FB1"/>
    <w:rsid w:val="0003563A"/>
    <w:rsid w:val="00040C94"/>
    <w:rsid w:val="00042AEC"/>
    <w:rsid w:val="000454CD"/>
    <w:rsid w:val="00046F2F"/>
    <w:rsid w:val="00052FB8"/>
    <w:rsid w:val="0006076A"/>
    <w:rsid w:val="00060CE4"/>
    <w:rsid w:val="000672DA"/>
    <w:rsid w:val="0007152C"/>
    <w:rsid w:val="00071E46"/>
    <w:rsid w:val="00075AA0"/>
    <w:rsid w:val="000817D8"/>
    <w:rsid w:val="000844AC"/>
    <w:rsid w:val="0008494C"/>
    <w:rsid w:val="00084C40"/>
    <w:rsid w:val="000872EF"/>
    <w:rsid w:val="00090DE5"/>
    <w:rsid w:val="00093815"/>
    <w:rsid w:val="00095058"/>
    <w:rsid w:val="0009600A"/>
    <w:rsid w:val="000A3BA1"/>
    <w:rsid w:val="000A6595"/>
    <w:rsid w:val="000A770E"/>
    <w:rsid w:val="000B11C9"/>
    <w:rsid w:val="000B6248"/>
    <w:rsid w:val="000B6B6D"/>
    <w:rsid w:val="000C31D6"/>
    <w:rsid w:val="000C5B0E"/>
    <w:rsid w:val="000D65D7"/>
    <w:rsid w:val="000E0E75"/>
    <w:rsid w:val="000E1113"/>
    <w:rsid w:val="000E453E"/>
    <w:rsid w:val="000E4804"/>
    <w:rsid w:val="000F1F64"/>
    <w:rsid w:val="000F399A"/>
    <w:rsid w:val="000F498F"/>
    <w:rsid w:val="000F687A"/>
    <w:rsid w:val="001057DE"/>
    <w:rsid w:val="0011350A"/>
    <w:rsid w:val="00115CB9"/>
    <w:rsid w:val="00122E3A"/>
    <w:rsid w:val="00123C9F"/>
    <w:rsid w:val="00127266"/>
    <w:rsid w:val="001275F0"/>
    <w:rsid w:val="00135A76"/>
    <w:rsid w:val="0013640C"/>
    <w:rsid w:val="00136E57"/>
    <w:rsid w:val="00137048"/>
    <w:rsid w:val="00140E19"/>
    <w:rsid w:val="00144D6F"/>
    <w:rsid w:val="00150718"/>
    <w:rsid w:val="00163D8F"/>
    <w:rsid w:val="001649D3"/>
    <w:rsid w:val="0016687D"/>
    <w:rsid w:val="0017077D"/>
    <w:rsid w:val="001712B2"/>
    <w:rsid w:val="00174F2B"/>
    <w:rsid w:val="00176153"/>
    <w:rsid w:val="00176C47"/>
    <w:rsid w:val="00176E51"/>
    <w:rsid w:val="00177650"/>
    <w:rsid w:val="001819CF"/>
    <w:rsid w:val="00183434"/>
    <w:rsid w:val="001842D2"/>
    <w:rsid w:val="00185FCE"/>
    <w:rsid w:val="00190335"/>
    <w:rsid w:val="0019092E"/>
    <w:rsid w:val="001952BD"/>
    <w:rsid w:val="00197305"/>
    <w:rsid w:val="001A028C"/>
    <w:rsid w:val="001A3A59"/>
    <w:rsid w:val="001A4487"/>
    <w:rsid w:val="001A4DEC"/>
    <w:rsid w:val="001B3418"/>
    <w:rsid w:val="001C20D8"/>
    <w:rsid w:val="001C4573"/>
    <w:rsid w:val="001C4CEA"/>
    <w:rsid w:val="001C69B1"/>
    <w:rsid w:val="001D0EEB"/>
    <w:rsid w:val="001D296B"/>
    <w:rsid w:val="001D31E5"/>
    <w:rsid w:val="001D3245"/>
    <w:rsid w:val="001D380E"/>
    <w:rsid w:val="001D4528"/>
    <w:rsid w:val="001E0F72"/>
    <w:rsid w:val="001E392A"/>
    <w:rsid w:val="001E7FA8"/>
    <w:rsid w:val="001F02A8"/>
    <w:rsid w:val="001F08F8"/>
    <w:rsid w:val="001F168F"/>
    <w:rsid w:val="001F4374"/>
    <w:rsid w:val="001F45D5"/>
    <w:rsid w:val="00205B84"/>
    <w:rsid w:val="00206A5C"/>
    <w:rsid w:val="002076A3"/>
    <w:rsid w:val="00210FA8"/>
    <w:rsid w:val="00211105"/>
    <w:rsid w:val="002223F4"/>
    <w:rsid w:val="00231996"/>
    <w:rsid w:val="00231F42"/>
    <w:rsid w:val="002320B9"/>
    <w:rsid w:val="0023547F"/>
    <w:rsid w:val="002403B6"/>
    <w:rsid w:val="00243387"/>
    <w:rsid w:val="00243A57"/>
    <w:rsid w:val="00245B87"/>
    <w:rsid w:val="00247BE5"/>
    <w:rsid w:val="00261B03"/>
    <w:rsid w:val="00270EFD"/>
    <w:rsid w:val="00275E5E"/>
    <w:rsid w:val="00294FAC"/>
    <w:rsid w:val="00297E2C"/>
    <w:rsid w:val="002A0B3F"/>
    <w:rsid w:val="002A136B"/>
    <w:rsid w:val="002A1A1F"/>
    <w:rsid w:val="002A4D77"/>
    <w:rsid w:val="002A70DB"/>
    <w:rsid w:val="002B0340"/>
    <w:rsid w:val="002B0F99"/>
    <w:rsid w:val="002B7C4F"/>
    <w:rsid w:val="002C083E"/>
    <w:rsid w:val="002C115B"/>
    <w:rsid w:val="002D15D6"/>
    <w:rsid w:val="002D1616"/>
    <w:rsid w:val="002D4A51"/>
    <w:rsid w:val="002D58F7"/>
    <w:rsid w:val="002E0E55"/>
    <w:rsid w:val="002E310D"/>
    <w:rsid w:val="002E377F"/>
    <w:rsid w:val="002E644E"/>
    <w:rsid w:val="002E70B0"/>
    <w:rsid w:val="002F1228"/>
    <w:rsid w:val="002F1655"/>
    <w:rsid w:val="002F2429"/>
    <w:rsid w:val="002F5F13"/>
    <w:rsid w:val="00300D5B"/>
    <w:rsid w:val="00305A31"/>
    <w:rsid w:val="00312498"/>
    <w:rsid w:val="00312DC9"/>
    <w:rsid w:val="00314962"/>
    <w:rsid w:val="00314BF4"/>
    <w:rsid w:val="00320F7A"/>
    <w:rsid w:val="0032160F"/>
    <w:rsid w:val="00321D66"/>
    <w:rsid w:val="00346D47"/>
    <w:rsid w:val="00347FB3"/>
    <w:rsid w:val="00350484"/>
    <w:rsid w:val="0035130C"/>
    <w:rsid w:val="003524AB"/>
    <w:rsid w:val="0035294F"/>
    <w:rsid w:val="00354328"/>
    <w:rsid w:val="003551EF"/>
    <w:rsid w:val="00357969"/>
    <w:rsid w:val="00357BDC"/>
    <w:rsid w:val="003612D2"/>
    <w:rsid w:val="00366892"/>
    <w:rsid w:val="003717DA"/>
    <w:rsid w:val="00373F7C"/>
    <w:rsid w:val="00374102"/>
    <w:rsid w:val="00375206"/>
    <w:rsid w:val="00383277"/>
    <w:rsid w:val="00384733"/>
    <w:rsid w:val="003847E8"/>
    <w:rsid w:val="003902A8"/>
    <w:rsid w:val="00390482"/>
    <w:rsid w:val="00392106"/>
    <w:rsid w:val="00397372"/>
    <w:rsid w:val="003A0588"/>
    <w:rsid w:val="003A50BD"/>
    <w:rsid w:val="003B0739"/>
    <w:rsid w:val="003B25FB"/>
    <w:rsid w:val="003B5018"/>
    <w:rsid w:val="003B66A9"/>
    <w:rsid w:val="003B6861"/>
    <w:rsid w:val="003B7BDA"/>
    <w:rsid w:val="003C1661"/>
    <w:rsid w:val="003C39D9"/>
    <w:rsid w:val="003C4F16"/>
    <w:rsid w:val="003C6DD4"/>
    <w:rsid w:val="003D2201"/>
    <w:rsid w:val="003D25E8"/>
    <w:rsid w:val="003D3F4D"/>
    <w:rsid w:val="003D61D5"/>
    <w:rsid w:val="003E2687"/>
    <w:rsid w:val="003E3612"/>
    <w:rsid w:val="003E4078"/>
    <w:rsid w:val="003E5033"/>
    <w:rsid w:val="003E6083"/>
    <w:rsid w:val="003F468E"/>
    <w:rsid w:val="003F54C3"/>
    <w:rsid w:val="003F5C2C"/>
    <w:rsid w:val="003F6CD2"/>
    <w:rsid w:val="004003A9"/>
    <w:rsid w:val="004023AB"/>
    <w:rsid w:val="0040729B"/>
    <w:rsid w:val="00412358"/>
    <w:rsid w:val="00412A9E"/>
    <w:rsid w:val="004147D8"/>
    <w:rsid w:val="00417200"/>
    <w:rsid w:val="00417272"/>
    <w:rsid w:val="0042120B"/>
    <w:rsid w:val="0042278B"/>
    <w:rsid w:val="004265F8"/>
    <w:rsid w:val="00433546"/>
    <w:rsid w:val="00435213"/>
    <w:rsid w:val="00440B28"/>
    <w:rsid w:val="004420A4"/>
    <w:rsid w:val="00445156"/>
    <w:rsid w:val="004454E1"/>
    <w:rsid w:val="00445ED8"/>
    <w:rsid w:val="00450DC0"/>
    <w:rsid w:val="00452E22"/>
    <w:rsid w:val="00457220"/>
    <w:rsid w:val="00460C12"/>
    <w:rsid w:val="004619FE"/>
    <w:rsid w:val="004640A2"/>
    <w:rsid w:val="0046742B"/>
    <w:rsid w:val="00471DCA"/>
    <w:rsid w:val="0048279C"/>
    <w:rsid w:val="004876EC"/>
    <w:rsid w:val="00491FEA"/>
    <w:rsid w:val="00493B30"/>
    <w:rsid w:val="00496AB5"/>
    <w:rsid w:val="004A303B"/>
    <w:rsid w:val="004A76AB"/>
    <w:rsid w:val="004A7ABD"/>
    <w:rsid w:val="004B02C0"/>
    <w:rsid w:val="004B1EC7"/>
    <w:rsid w:val="004B32F1"/>
    <w:rsid w:val="004C0347"/>
    <w:rsid w:val="004C2E82"/>
    <w:rsid w:val="004C34CA"/>
    <w:rsid w:val="004D0A19"/>
    <w:rsid w:val="004D0FC6"/>
    <w:rsid w:val="004D20B3"/>
    <w:rsid w:val="004D3442"/>
    <w:rsid w:val="004D786E"/>
    <w:rsid w:val="004E0B49"/>
    <w:rsid w:val="004E393F"/>
    <w:rsid w:val="004F15AF"/>
    <w:rsid w:val="004F331D"/>
    <w:rsid w:val="004F79BD"/>
    <w:rsid w:val="00500EB1"/>
    <w:rsid w:val="00505B44"/>
    <w:rsid w:val="00511987"/>
    <w:rsid w:val="005161D8"/>
    <w:rsid w:val="00517AF7"/>
    <w:rsid w:val="00520ED8"/>
    <w:rsid w:val="005234D5"/>
    <w:rsid w:val="005234F8"/>
    <w:rsid w:val="005243A4"/>
    <w:rsid w:val="00525928"/>
    <w:rsid w:val="00531FFD"/>
    <w:rsid w:val="005354EF"/>
    <w:rsid w:val="00535A3B"/>
    <w:rsid w:val="00536436"/>
    <w:rsid w:val="00540324"/>
    <w:rsid w:val="005413AD"/>
    <w:rsid w:val="005417FD"/>
    <w:rsid w:val="0054518D"/>
    <w:rsid w:val="00557DC0"/>
    <w:rsid w:val="005607FA"/>
    <w:rsid w:val="00560FE9"/>
    <w:rsid w:val="00563567"/>
    <w:rsid w:val="00564C14"/>
    <w:rsid w:val="00575EB1"/>
    <w:rsid w:val="0057684E"/>
    <w:rsid w:val="005771F6"/>
    <w:rsid w:val="005813A6"/>
    <w:rsid w:val="0058317F"/>
    <w:rsid w:val="005838C2"/>
    <w:rsid w:val="005857AE"/>
    <w:rsid w:val="00595761"/>
    <w:rsid w:val="005A3E27"/>
    <w:rsid w:val="005B0957"/>
    <w:rsid w:val="005B378B"/>
    <w:rsid w:val="005C4A1B"/>
    <w:rsid w:val="005C5E91"/>
    <w:rsid w:val="005C6603"/>
    <w:rsid w:val="005C6C8C"/>
    <w:rsid w:val="005D09E3"/>
    <w:rsid w:val="005D114E"/>
    <w:rsid w:val="005E0B41"/>
    <w:rsid w:val="005E1B46"/>
    <w:rsid w:val="005E2333"/>
    <w:rsid w:val="005E75DC"/>
    <w:rsid w:val="005F5D4C"/>
    <w:rsid w:val="005F6A61"/>
    <w:rsid w:val="006042C2"/>
    <w:rsid w:val="00604EEF"/>
    <w:rsid w:val="00606925"/>
    <w:rsid w:val="00606B61"/>
    <w:rsid w:val="0061397A"/>
    <w:rsid w:val="00613AF3"/>
    <w:rsid w:val="006231DE"/>
    <w:rsid w:val="00626E5E"/>
    <w:rsid w:val="00627631"/>
    <w:rsid w:val="006313F1"/>
    <w:rsid w:val="00632344"/>
    <w:rsid w:val="00636432"/>
    <w:rsid w:val="006377F2"/>
    <w:rsid w:val="00641C8F"/>
    <w:rsid w:val="006464D0"/>
    <w:rsid w:val="006474BE"/>
    <w:rsid w:val="006479AF"/>
    <w:rsid w:val="0065078E"/>
    <w:rsid w:val="00652CEE"/>
    <w:rsid w:val="00653152"/>
    <w:rsid w:val="00660E28"/>
    <w:rsid w:val="00667A63"/>
    <w:rsid w:val="00672679"/>
    <w:rsid w:val="00681A38"/>
    <w:rsid w:val="00684DC7"/>
    <w:rsid w:val="00691F02"/>
    <w:rsid w:val="00692641"/>
    <w:rsid w:val="006973FB"/>
    <w:rsid w:val="006A2F0A"/>
    <w:rsid w:val="006A4BBD"/>
    <w:rsid w:val="006A6806"/>
    <w:rsid w:val="006A6E96"/>
    <w:rsid w:val="006B02BA"/>
    <w:rsid w:val="006B38E9"/>
    <w:rsid w:val="006B59A5"/>
    <w:rsid w:val="006C07E7"/>
    <w:rsid w:val="006C3166"/>
    <w:rsid w:val="006C472F"/>
    <w:rsid w:val="006C7BD7"/>
    <w:rsid w:val="006D3554"/>
    <w:rsid w:val="006D546A"/>
    <w:rsid w:val="006D688B"/>
    <w:rsid w:val="006E4FE5"/>
    <w:rsid w:val="006E57BF"/>
    <w:rsid w:val="006E6E28"/>
    <w:rsid w:val="006F226E"/>
    <w:rsid w:val="006F575C"/>
    <w:rsid w:val="006F579E"/>
    <w:rsid w:val="006F680D"/>
    <w:rsid w:val="007039AF"/>
    <w:rsid w:val="00712580"/>
    <w:rsid w:val="007136B5"/>
    <w:rsid w:val="0071605D"/>
    <w:rsid w:val="00721271"/>
    <w:rsid w:val="00721ECB"/>
    <w:rsid w:val="00722884"/>
    <w:rsid w:val="00723530"/>
    <w:rsid w:val="00723AE8"/>
    <w:rsid w:val="00723E77"/>
    <w:rsid w:val="00726810"/>
    <w:rsid w:val="00727561"/>
    <w:rsid w:val="00727BCE"/>
    <w:rsid w:val="0073714A"/>
    <w:rsid w:val="00737FF7"/>
    <w:rsid w:val="00741B4A"/>
    <w:rsid w:val="007478CF"/>
    <w:rsid w:val="00750ACD"/>
    <w:rsid w:val="00751C3C"/>
    <w:rsid w:val="00752E47"/>
    <w:rsid w:val="00754A95"/>
    <w:rsid w:val="00754DDF"/>
    <w:rsid w:val="00756E2E"/>
    <w:rsid w:val="007617E2"/>
    <w:rsid w:val="00767926"/>
    <w:rsid w:val="007755E5"/>
    <w:rsid w:val="00776CFB"/>
    <w:rsid w:val="0078192D"/>
    <w:rsid w:val="007872E3"/>
    <w:rsid w:val="007876FB"/>
    <w:rsid w:val="007953E5"/>
    <w:rsid w:val="007A031B"/>
    <w:rsid w:val="007A0479"/>
    <w:rsid w:val="007A23C7"/>
    <w:rsid w:val="007B0C39"/>
    <w:rsid w:val="007B1F5D"/>
    <w:rsid w:val="007B2ACA"/>
    <w:rsid w:val="007B4E72"/>
    <w:rsid w:val="007B4FE6"/>
    <w:rsid w:val="007B536B"/>
    <w:rsid w:val="007B6C8A"/>
    <w:rsid w:val="007C3EEC"/>
    <w:rsid w:val="007D0752"/>
    <w:rsid w:val="007D2E18"/>
    <w:rsid w:val="007D53A1"/>
    <w:rsid w:val="007E0840"/>
    <w:rsid w:val="007E419E"/>
    <w:rsid w:val="007E63C5"/>
    <w:rsid w:val="007E69E8"/>
    <w:rsid w:val="007E7732"/>
    <w:rsid w:val="007F26A0"/>
    <w:rsid w:val="007F3256"/>
    <w:rsid w:val="00812546"/>
    <w:rsid w:val="00812573"/>
    <w:rsid w:val="00814915"/>
    <w:rsid w:val="00824BDF"/>
    <w:rsid w:val="00825395"/>
    <w:rsid w:val="00830DC3"/>
    <w:rsid w:val="00832543"/>
    <w:rsid w:val="00833538"/>
    <w:rsid w:val="00833E64"/>
    <w:rsid w:val="00834881"/>
    <w:rsid w:val="0083588C"/>
    <w:rsid w:val="008370E2"/>
    <w:rsid w:val="00837EE4"/>
    <w:rsid w:val="008415D0"/>
    <w:rsid w:val="008433E6"/>
    <w:rsid w:val="00845204"/>
    <w:rsid w:val="00850105"/>
    <w:rsid w:val="0085506E"/>
    <w:rsid w:val="0085674B"/>
    <w:rsid w:val="00856F04"/>
    <w:rsid w:val="00857624"/>
    <w:rsid w:val="008621A0"/>
    <w:rsid w:val="008711D2"/>
    <w:rsid w:val="00871A23"/>
    <w:rsid w:val="00871BF4"/>
    <w:rsid w:val="00872DE6"/>
    <w:rsid w:val="0087427D"/>
    <w:rsid w:val="008750AF"/>
    <w:rsid w:val="008750F1"/>
    <w:rsid w:val="008771BF"/>
    <w:rsid w:val="00895434"/>
    <w:rsid w:val="008957D9"/>
    <w:rsid w:val="008A2385"/>
    <w:rsid w:val="008A39F0"/>
    <w:rsid w:val="008B3947"/>
    <w:rsid w:val="008B4E01"/>
    <w:rsid w:val="008B54D7"/>
    <w:rsid w:val="008B5C7E"/>
    <w:rsid w:val="008B7EB5"/>
    <w:rsid w:val="008C3214"/>
    <w:rsid w:val="008C4DD7"/>
    <w:rsid w:val="008D1166"/>
    <w:rsid w:val="008D1BFE"/>
    <w:rsid w:val="008E4863"/>
    <w:rsid w:val="008E5EC0"/>
    <w:rsid w:val="008E62FC"/>
    <w:rsid w:val="008F28FD"/>
    <w:rsid w:val="008F4391"/>
    <w:rsid w:val="009062D2"/>
    <w:rsid w:val="00907603"/>
    <w:rsid w:val="0091103A"/>
    <w:rsid w:val="009143D9"/>
    <w:rsid w:val="00915B63"/>
    <w:rsid w:val="009167B3"/>
    <w:rsid w:val="009207DC"/>
    <w:rsid w:val="009209E2"/>
    <w:rsid w:val="009227C7"/>
    <w:rsid w:val="0093186C"/>
    <w:rsid w:val="00933F0D"/>
    <w:rsid w:val="00940445"/>
    <w:rsid w:val="00942E07"/>
    <w:rsid w:val="00943AAF"/>
    <w:rsid w:val="009442F9"/>
    <w:rsid w:val="00945F67"/>
    <w:rsid w:val="00946FA4"/>
    <w:rsid w:val="00952B83"/>
    <w:rsid w:val="00953AF4"/>
    <w:rsid w:val="0095528A"/>
    <w:rsid w:val="009567D4"/>
    <w:rsid w:val="00956806"/>
    <w:rsid w:val="00957BC7"/>
    <w:rsid w:val="009619A4"/>
    <w:rsid w:val="00962F96"/>
    <w:rsid w:val="00964C6E"/>
    <w:rsid w:val="0096598A"/>
    <w:rsid w:val="009718C8"/>
    <w:rsid w:val="00971EDC"/>
    <w:rsid w:val="00981728"/>
    <w:rsid w:val="0098174F"/>
    <w:rsid w:val="0098429E"/>
    <w:rsid w:val="009902A4"/>
    <w:rsid w:val="00992666"/>
    <w:rsid w:val="00994D4B"/>
    <w:rsid w:val="00995B9E"/>
    <w:rsid w:val="009A01C2"/>
    <w:rsid w:val="009A251C"/>
    <w:rsid w:val="009A5602"/>
    <w:rsid w:val="009A5605"/>
    <w:rsid w:val="009A6E6C"/>
    <w:rsid w:val="009B1E18"/>
    <w:rsid w:val="009B2913"/>
    <w:rsid w:val="009B3AEF"/>
    <w:rsid w:val="009C488F"/>
    <w:rsid w:val="009D0C0D"/>
    <w:rsid w:val="009D1293"/>
    <w:rsid w:val="009D7753"/>
    <w:rsid w:val="009F3CFA"/>
    <w:rsid w:val="009F3DC3"/>
    <w:rsid w:val="009F4737"/>
    <w:rsid w:val="00A01C75"/>
    <w:rsid w:val="00A05715"/>
    <w:rsid w:val="00A06628"/>
    <w:rsid w:val="00A12C67"/>
    <w:rsid w:val="00A21C6D"/>
    <w:rsid w:val="00A23DB8"/>
    <w:rsid w:val="00A306C1"/>
    <w:rsid w:val="00A31257"/>
    <w:rsid w:val="00A36FAC"/>
    <w:rsid w:val="00A373CA"/>
    <w:rsid w:val="00A416DF"/>
    <w:rsid w:val="00A441F7"/>
    <w:rsid w:val="00A461BF"/>
    <w:rsid w:val="00A55A76"/>
    <w:rsid w:val="00A57AF4"/>
    <w:rsid w:val="00A601CF"/>
    <w:rsid w:val="00A62338"/>
    <w:rsid w:val="00A713D3"/>
    <w:rsid w:val="00A73E82"/>
    <w:rsid w:val="00A742A2"/>
    <w:rsid w:val="00A7478E"/>
    <w:rsid w:val="00A74A02"/>
    <w:rsid w:val="00A74B4D"/>
    <w:rsid w:val="00A75069"/>
    <w:rsid w:val="00A7739B"/>
    <w:rsid w:val="00A821DA"/>
    <w:rsid w:val="00A83228"/>
    <w:rsid w:val="00A84F06"/>
    <w:rsid w:val="00A8565F"/>
    <w:rsid w:val="00A860D6"/>
    <w:rsid w:val="00A8631A"/>
    <w:rsid w:val="00A8683B"/>
    <w:rsid w:val="00A86A51"/>
    <w:rsid w:val="00A9025C"/>
    <w:rsid w:val="00A9221A"/>
    <w:rsid w:val="00A930A0"/>
    <w:rsid w:val="00A93699"/>
    <w:rsid w:val="00A94147"/>
    <w:rsid w:val="00A95E19"/>
    <w:rsid w:val="00AA0278"/>
    <w:rsid w:val="00AA22EA"/>
    <w:rsid w:val="00AA2FEB"/>
    <w:rsid w:val="00AB1A59"/>
    <w:rsid w:val="00AB1F7C"/>
    <w:rsid w:val="00AB6CC2"/>
    <w:rsid w:val="00AC476C"/>
    <w:rsid w:val="00AC4903"/>
    <w:rsid w:val="00AC787F"/>
    <w:rsid w:val="00AD0392"/>
    <w:rsid w:val="00AD1596"/>
    <w:rsid w:val="00AD23F8"/>
    <w:rsid w:val="00AD514B"/>
    <w:rsid w:val="00AD555B"/>
    <w:rsid w:val="00AE1E04"/>
    <w:rsid w:val="00AE4275"/>
    <w:rsid w:val="00AE7273"/>
    <w:rsid w:val="00B00DBC"/>
    <w:rsid w:val="00B01C20"/>
    <w:rsid w:val="00B04CAC"/>
    <w:rsid w:val="00B1527E"/>
    <w:rsid w:val="00B233DE"/>
    <w:rsid w:val="00B34541"/>
    <w:rsid w:val="00B36AC5"/>
    <w:rsid w:val="00B428B5"/>
    <w:rsid w:val="00B44005"/>
    <w:rsid w:val="00B448DC"/>
    <w:rsid w:val="00B46615"/>
    <w:rsid w:val="00B47DC7"/>
    <w:rsid w:val="00B517E6"/>
    <w:rsid w:val="00B622CE"/>
    <w:rsid w:val="00B647D2"/>
    <w:rsid w:val="00B6563C"/>
    <w:rsid w:val="00B6575E"/>
    <w:rsid w:val="00B67199"/>
    <w:rsid w:val="00B67258"/>
    <w:rsid w:val="00B675F0"/>
    <w:rsid w:val="00B67B2C"/>
    <w:rsid w:val="00B70A78"/>
    <w:rsid w:val="00B74F55"/>
    <w:rsid w:val="00B80F67"/>
    <w:rsid w:val="00B8638A"/>
    <w:rsid w:val="00B924CE"/>
    <w:rsid w:val="00B94E56"/>
    <w:rsid w:val="00B9767E"/>
    <w:rsid w:val="00BA4269"/>
    <w:rsid w:val="00BA45CC"/>
    <w:rsid w:val="00BA52C2"/>
    <w:rsid w:val="00BB2131"/>
    <w:rsid w:val="00BB53A1"/>
    <w:rsid w:val="00BC3EAD"/>
    <w:rsid w:val="00BD05A9"/>
    <w:rsid w:val="00BD6DA6"/>
    <w:rsid w:val="00BE1076"/>
    <w:rsid w:val="00BE3972"/>
    <w:rsid w:val="00BE3E20"/>
    <w:rsid w:val="00BE57E3"/>
    <w:rsid w:val="00BE5881"/>
    <w:rsid w:val="00BE6BAC"/>
    <w:rsid w:val="00BE6EEE"/>
    <w:rsid w:val="00BF0E1F"/>
    <w:rsid w:val="00BF4947"/>
    <w:rsid w:val="00BF5F74"/>
    <w:rsid w:val="00C06982"/>
    <w:rsid w:val="00C23FC5"/>
    <w:rsid w:val="00C24F22"/>
    <w:rsid w:val="00C333C4"/>
    <w:rsid w:val="00C34048"/>
    <w:rsid w:val="00C3546D"/>
    <w:rsid w:val="00C35954"/>
    <w:rsid w:val="00C3787D"/>
    <w:rsid w:val="00C417C5"/>
    <w:rsid w:val="00C41C79"/>
    <w:rsid w:val="00C50FA3"/>
    <w:rsid w:val="00C535A1"/>
    <w:rsid w:val="00C57590"/>
    <w:rsid w:val="00C57619"/>
    <w:rsid w:val="00C57A2C"/>
    <w:rsid w:val="00C6094E"/>
    <w:rsid w:val="00C66D8E"/>
    <w:rsid w:val="00C676C4"/>
    <w:rsid w:val="00C71643"/>
    <w:rsid w:val="00C7255F"/>
    <w:rsid w:val="00C727D1"/>
    <w:rsid w:val="00C75CEE"/>
    <w:rsid w:val="00C767BD"/>
    <w:rsid w:val="00C800D4"/>
    <w:rsid w:val="00C80DB5"/>
    <w:rsid w:val="00C8409B"/>
    <w:rsid w:val="00C90635"/>
    <w:rsid w:val="00C922E3"/>
    <w:rsid w:val="00C9297D"/>
    <w:rsid w:val="00C9454E"/>
    <w:rsid w:val="00C9486C"/>
    <w:rsid w:val="00C97FCE"/>
    <w:rsid w:val="00CA20EE"/>
    <w:rsid w:val="00CA3F33"/>
    <w:rsid w:val="00CA5585"/>
    <w:rsid w:val="00CB3A07"/>
    <w:rsid w:val="00CC50E0"/>
    <w:rsid w:val="00CD1066"/>
    <w:rsid w:val="00CD6F4A"/>
    <w:rsid w:val="00CE3179"/>
    <w:rsid w:val="00CE6BAE"/>
    <w:rsid w:val="00CF4E7D"/>
    <w:rsid w:val="00CF6F36"/>
    <w:rsid w:val="00CF77CC"/>
    <w:rsid w:val="00CF7B4A"/>
    <w:rsid w:val="00D00BC4"/>
    <w:rsid w:val="00D066B1"/>
    <w:rsid w:val="00D10848"/>
    <w:rsid w:val="00D10B7C"/>
    <w:rsid w:val="00D11B77"/>
    <w:rsid w:val="00D11F06"/>
    <w:rsid w:val="00D14E04"/>
    <w:rsid w:val="00D169B7"/>
    <w:rsid w:val="00D2063C"/>
    <w:rsid w:val="00D22A9E"/>
    <w:rsid w:val="00D30C4B"/>
    <w:rsid w:val="00D35239"/>
    <w:rsid w:val="00D40464"/>
    <w:rsid w:val="00D617BE"/>
    <w:rsid w:val="00D61E7F"/>
    <w:rsid w:val="00D6460F"/>
    <w:rsid w:val="00D669CD"/>
    <w:rsid w:val="00D74B59"/>
    <w:rsid w:val="00D7798C"/>
    <w:rsid w:val="00D8000F"/>
    <w:rsid w:val="00D814ED"/>
    <w:rsid w:val="00D819D6"/>
    <w:rsid w:val="00D83761"/>
    <w:rsid w:val="00D8781F"/>
    <w:rsid w:val="00D902B6"/>
    <w:rsid w:val="00D96490"/>
    <w:rsid w:val="00D974E5"/>
    <w:rsid w:val="00D97927"/>
    <w:rsid w:val="00DA35A7"/>
    <w:rsid w:val="00DB09D2"/>
    <w:rsid w:val="00DB0C5F"/>
    <w:rsid w:val="00DB3520"/>
    <w:rsid w:val="00DC13F6"/>
    <w:rsid w:val="00DC34E1"/>
    <w:rsid w:val="00DC3ED0"/>
    <w:rsid w:val="00DC5A23"/>
    <w:rsid w:val="00DC6816"/>
    <w:rsid w:val="00DD43A1"/>
    <w:rsid w:val="00DE15E5"/>
    <w:rsid w:val="00DE228A"/>
    <w:rsid w:val="00DE397C"/>
    <w:rsid w:val="00DE5296"/>
    <w:rsid w:val="00DF34FD"/>
    <w:rsid w:val="00DF52CC"/>
    <w:rsid w:val="00DF6B0C"/>
    <w:rsid w:val="00E009C5"/>
    <w:rsid w:val="00E011A3"/>
    <w:rsid w:val="00E03252"/>
    <w:rsid w:val="00E11F2C"/>
    <w:rsid w:val="00E12F1F"/>
    <w:rsid w:val="00E1411C"/>
    <w:rsid w:val="00E14D0F"/>
    <w:rsid w:val="00E15D8A"/>
    <w:rsid w:val="00E21DD3"/>
    <w:rsid w:val="00E27E1B"/>
    <w:rsid w:val="00E3361B"/>
    <w:rsid w:val="00E3748D"/>
    <w:rsid w:val="00E40149"/>
    <w:rsid w:val="00E440DA"/>
    <w:rsid w:val="00E445FF"/>
    <w:rsid w:val="00E44926"/>
    <w:rsid w:val="00E44AA4"/>
    <w:rsid w:val="00E47AA7"/>
    <w:rsid w:val="00E50B62"/>
    <w:rsid w:val="00E51BAC"/>
    <w:rsid w:val="00E535D0"/>
    <w:rsid w:val="00E56E78"/>
    <w:rsid w:val="00E62A19"/>
    <w:rsid w:val="00E65F5F"/>
    <w:rsid w:val="00E66195"/>
    <w:rsid w:val="00E73FA0"/>
    <w:rsid w:val="00E7541E"/>
    <w:rsid w:val="00E77670"/>
    <w:rsid w:val="00E86839"/>
    <w:rsid w:val="00E91538"/>
    <w:rsid w:val="00E918E5"/>
    <w:rsid w:val="00E96BB2"/>
    <w:rsid w:val="00EA379B"/>
    <w:rsid w:val="00EA6051"/>
    <w:rsid w:val="00EB3B31"/>
    <w:rsid w:val="00EB3E15"/>
    <w:rsid w:val="00EB3ED6"/>
    <w:rsid w:val="00EB4A65"/>
    <w:rsid w:val="00EC13F0"/>
    <w:rsid w:val="00EC21FE"/>
    <w:rsid w:val="00EC33F0"/>
    <w:rsid w:val="00EC362F"/>
    <w:rsid w:val="00EC46DC"/>
    <w:rsid w:val="00EC49ED"/>
    <w:rsid w:val="00ED378D"/>
    <w:rsid w:val="00ED43DE"/>
    <w:rsid w:val="00EE13B3"/>
    <w:rsid w:val="00EE3334"/>
    <w:rsid w:val="00EE5CF7"/>
    <w:rsid w:val="00EF0642"/>
    <w:rsid w:val="00EF1311"/>
    <w:rsid w:val="00EF2B85"/>
    <w:rsid w:val="00EF4235"/>
    <w:rsid w:val="00F01BEF"/>
    <w:rsid w:val="00F023D0"/>
    <w:rsid w:val="00F07CE1"/>
    <w:rsid w:val="00F14500"/>
    <w:rsid w:val="00F177F7"/>
    <w:rsid w:val="00F263DE"/>
    <w:rsid w:val="00F26DFE"/>
    <w:rsid w:val="00F301B3"/>
    <w:rsid w:val="00F331A7"/>
    <w:rsid w:val="00F33915"/>
    <w:rsid w:val="00F33CEC"/>
    <w:rsid w:val="00F34FA6"/>
    <w:rsid w:val="00F35BD1"/>
    <w:rsid w:val="00F43492"/>
    <w:rsid w:val="00F44977"/>
    <w:rsid w:val="00F451AE"/>
    <w:rsid w:val="00F45B78"/>
    <w:rsid w:val="00F47663"/>
    <w:rsid w:val="00F55412"/>
    <w:rsid w:val="00F57E33"/>
    <w:rsid w:val="00F607E1"/>
    <w:rsid w:val="00F61D5F"/>
    <w:rsid w:val="00F62C1A"/>
    <w:rsid w:val="00F67826"/>
    <w:rsid w:val="00F74246"/>
    <w:rsid w:val="00F76D7F"/>
    <w:rsid w:val="00F910A4"/>
    <w:rsid w:val="00F92C44"/>
    <w:rsid w:val="00F93423"/>
    <w:rsid w:val="00FA1E80"/>
    <w:rsid w:val="00FA2BD8"/>
    <w:rsid w:val="00FA6D38"/>
    <w:rsid w:val="00FA7435"/>
    <w:rsid w:val="00FB0C5A"/>
    <w:rsid w:val="00FB1CBC"/>
    <w:rsid w:val="00FB745B"/>
    <w:rsid w:val="00FC3F8B"/>
    <w:rsid w:val="00FC51A8"/>
    <w:rsid w:val="00FC625D"/>
    <w:rsid w:val="00FD1A7E"/>
    <w:rsid w:val="00FD381D"/>
    <w:rsid w:val="00FD68FA"/>
    <w:rsid w:val="00FD7EB1"/>
    <w:rsid w:val="00FE31F0"/>
    <w:rsid w:val="00FE5B5E"/>
    <w:rsid w:val="00FE795C"/>
    <w:rsid w:val="00FF0608"/>
    <w:rsid w:val="00FF10FB"/>
    <w:rsid w:val="00FF2E97"/>
    <w:rsid w:val="00FF7731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AA652"/>
  <w15:chartTrackingRefBased/>
  <w15:docId w15:val="{53249731-FBAA-420E-9AE1-C11FF1BF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317F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6042C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rsid w:val="00320F7A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01355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13556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013556"/>
    <w:rPr>
      <w:rFonts w:ascii="Tahoma" w:hAnsi="Tahoma" w:cs="Tahoma"/>
      <w:sz w:val="16"/>
      <w:szCs w:val="16"/>
    </w:rPr>
  </w:style>
  <w:style w:type="paragraph" w:customStyle="1" w:styleId="Template-Parentlogoname">
    <w:name w:val="Template - Parent logoname"/>
    <w:basedOn w:val="Normal"/>
    <w:rsid w:val="0032160F"/>
    <w:pPr>
      <w:spacing w:line="240" w:lineRule="atLeast"/>
    </w:pPr>
    <w:rPr>
      <w:rFonts w:ascii="AU Passata" w:hAnsi="AU Passata"/>
      <w:caps/>
      <w:noProof/>
      <w:color w:val="03428E"/>
      <w:spacing w:val="10"/>
      <w:sz w:val="22"/>
    </w:rPr>
  </w:style>
  <w:style w:type="paragraph" w:customStyle="1" w:styleId="Template-Unitnamelogoname">
    <w:name w:val="Template - Unitname logoname"/>
    <w:basedOn w:val="Template-Parentlogoname"/>
    <w:rsid w:val="0032160F"/>
    <w:pPr>
      <w:spacing w:line="160" w:lineRule="atLeast"/>
    </w:pPr>
    <w:rPr>
      <w:sz w:val="14"/>
    </w:rPr>
  </w:style>
  <w:style w:type="character" w:styleId="Sidetal">
    <w:name w:val="page number"/>
    <w:basedOn w:val="Standardskrifttypeiafsnit"/>
    <w:rsid w:val="00DF52CC"/>
  </w:style>
  <w:style w:type="paragraph" w:styleId="NormalWeb">
    <w:name w:val="Normal (Web)"/>
    <w:basedOn w:val="Normal"/>
    <w:uiPriority w:val="99"/>
    <w:unhideWhenUsed/>
    <w:rsid w:val="001F02A8"/>
    <w:pPr>
      <w:spacing w:before="100" w:beforeAutospacing="1" w:after="240"/>
    </w:pPr>
    <w:rPr>
      <w:lang w:eastAsia="da-DK"/>
    </w:rPr>
  </w:style>
  <w:style w:type="paragraph" w:styleId="Listeafsnit">
    <w:name w:val="List Paragraph"/>
    <w:basedOn w:val="Normal"/>
    <w:uiPriority w:val="34"/>
    <w:qFormat/>
    <w:rsid w:val="008750F1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Overskrift1Tegn">
    <w:name w:val="Overskrift 1 Tegn"/>
    <w:link w:val="Overskrift1"/>
    <w:rsid w:val="006042C2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SidefodTegn">
    <w:name w:val="Sidefod Tegn"/>
    <w:link w:val="Sidefod"/>
    <w:uiPriority w:val="99"/>
    <w:rsid w:val="005413AD"/>
    <w:rPr>
      <w:sz w:val="24"/>
      <w:szCs w:val="24"/>
      <w:lang w:eastAsia="en-US"/>
    </w:rPr>
  </w:style>
  <w:style w:type="character" w:customStyle="1" w:styleId="SidehovedTegn">
    <w:name w:val="Sidehoved Tegn"/>
    <w:link w:val="Sidehoved"/>
    <w:uiPriority w:val="99"/>
    <w:rsid w:val="005413AD"/>
    <w:rPr>
      <w:sz w:val="24"/>
      <w:szCs w:val="24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3B6861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da-DK"/>
    </w:rPr>
  </w:style>
  <w:style w:type="paragraph" w:styleId="Indholdsfortegnelse1">
    <w:name w:val="toc 1"/>
    <w:basedOn w:val="Normal"/>
    <w:next w:val="Normal"/>
    <w:autoRedefine/>
    <w:uiPriority w:val="39"/>
    <w:rsid w:val="003B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80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681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uni.au.dk\dfs\HE_OKONOMI-OMR\Institutmapper\Institut%20for%20Folkesundhed\Budget\Budget%202026\Filer%20til%20aflevering\Indeksgrafer%20IFS%20ordin&#230;r%20drift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uni.au.dk\dfs\HE_OKONOMI-OMR\Institutmapper\Institut%20for%20Folkesundhed\Budget\Budget%202026\Filer%20til%20aflevering\Indeksgrafer%20IFS%20DR4-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[Indeksgrafer IFS ordinær drift.xlsx]Pivotdiagram!Pivottabel1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450" b="1" baseline="0">
                <a:solidFill>
                  <a:sysClr val="windowText" lastClr="000000"/>
                </a:solidFill>
              </a:rPr>
              <a:t>Udvikling i udvalgte poster 2023-2029 med 2023 = indeks 100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3.539974847045451E-2"/>
          <c:y val="1.2559045498968403E-2"/>
          <c:w val="0.74250189507089948"/>
          <c:h val="0.86648451859512743"/>
        </c:manualLayout>
      </c:layout>
      <c:lineChart>
        <c:grouping val="standard"/>
        <c:varyColors val="0"/>
        <c:ser>
          <c:idx val="0"/>
          <c:order val="0"/>
          <c:tx>
            <c:strRef>
              <c:f>Pivotdiagram!$C$6</c:f>
              <c:strCache>
                <c:ptCount val="1"/>
                <c:pt idx="0">
                  <c:v>Driftsomkostninger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Pivotdiagram!$C$7:$C$13</c:f>
              <c:numCache>
                <c:formatCode>0</c:formatCode>
                <c:ptCount val="7"/>
                <c:pt idx="0">
                  <c:v>100</c:v>
                </c:pt>
                <c:pt idx="1">
                  <c:v>106.44452815822154</c:v>
                </c:pt>
                <c:pt idx="2">
                  <c:v>114.20698416521017</c:v>
                </c:pt>
                <c:pt idx="3">
                  <c:v>81.793137256479994</c:v>
                </c:pt>
                <c:pt idx="4">
                  <c:v>80.561841203931905</c:v>
                </c:pt>
                <c:pt idx="5">
                  <c:v>79.020776975832618</c:v>
                </c:pt>
                <c:pt idx="6">
                  <c:v>78.567725392588102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4DF-42AE-BF50-24AFABCC9BF9}"/>
            </c:ext>
          </c:extLst>
        </c:ser>
        <c:ser>
          <c:idx val="1"/>
          <c:order val="1"/>
          <c:tx>
            <c:strRef>
              <c:f>Pivotdiagram!$D$6</c:f>
              <c:strCache>
                <c:ptCount val="1"/>
                <c:pt idx="0">
                  <c:v>Finanslovstilskud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Pivotdiagram!$D$7:$D$13</c:f>
              <c:numCache>
                <c:formatCode>0</c:formatCode>
                <c:ptCount val="7"/>
                <c:pt idx="0">
                  <c:v>100</c:v>
                </c:pt>
                <c:pt idx="1">
                  <c:v>115.82550805540146</c:v>
                </c:pt>
                <c:pt idx="2">
                  <c:v>122.60313964169293</c:v>
                </c:pt>
                <c:pt idx="3">
                  <c:v>119.09753685059559</c:v>
                </c:pt>
                <c:pt idx="4">
                  <c:v>117.71314132380701</c:v>
                </c:pt>
                <c:pt idx="5">
                  <c:v>116.59245030091697</c:v>
                </c:pt>
                <c:pt idx="6">
                  <c:v>116.92464158420709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4DF-42AE-BF50-24AFABCC9BF9}"/>
            </c:ext>
          </c:extLst>
        </c:ser>
        <c:ser>
          <c:idx val="2"/>
          <c:order val="2"/>
          <c:tx>
            <c:strRef>
              <c:f>Pivotdiagram!$E$6</c:f>
              <c:strCache>
                <c:ptCount val="1"/>
                <c:pt idx="0">
                  <c:v>Husleje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Pivotdiagram!$E$7:$E$13</c:f>
              <c:numCache>
                <c:formatCode>0</c:formatCode>
                <c:ptCount val="7"/>
                <c:pt idx="0">
                  <c:v>100</c:v>
                </c:pt>
                <c:pt idx="1">
                  <c:v>100.51857339231829</c:v>
                </c:pt>
                <c:pt idx="2">
                  <c:v>98.395682156014956</c:v>
                </c:pt>
                <c:pt idx="3">
                  <c:v>96.869828398594237</c:v>
                </c:pt>
                <c:pt idx="4">
                  <c:v>96.856074198022</c:v>
                </c:pt>
                <c:pt idx="5">
                  <c:v>97.314086715456213</c:v>
                </c:pt>
                <c:pt idx="6">
                  <c:v>97.300324206832329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4DF-42AE-BF50-24AFABCC9BF9}"/>
            </c:ext>
          </c:extLst>
        </c:ser>
        <c:ser>
          <c:idx val="3"/>
          <c:order val="3"/>
          <c:tx>
            <c:strRef>
              <c:f>Pivotdiagram!$F$6</c:f>
              <c:strCache>
                <c:ptCount val="1"/>
                <c:pt idx="0">
                  <c:v>Løn</c:v>
                </c:pt>
              </c:strCache>
            </c:strRef>
          </c:tx>
          <c:spPr>
            <a:ln w="381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Pivotdiagram!$F$7:$F$13</c:f>
              <c:numCache>
                <c:formatCode>0</c:formatCode>
                <c:ptCount val="7"/>
                <c:pt idx="0">
                  <c:v>100</c:v>
                </c:pt>
                <c:pt idx="1">
                  <c:v>92.636282818507922</c:v>
                </c:pt>
                <c:pt idx="2">
                  <c:v>101.57430458949932</c:v>
                </c:pt>
                <c:pt idx="3">
                  <c:v>116.22067762254909</c:v>
                </c:pt>
                <c:pt idx="4">
                  <c:v>110.19766735680597</c:v>
                </c:pt>
                <c:pt idx="5">
                  <c:v>104.12197885216423</c:v>
                </c:pt>
                <c:pt idx="6">
                  <c:v>104.25952996260501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4DF-42AE-BF50-24AFABCC9BF9}"/>
            </c:ext>
          </c:extLst>
        </c:ser>
        <c:ser>
          <c:idx val="4"/>
          <c:order val="4"/>
          <c:tx>
            <c:strRef>
              <c:f>Pivotdiagram!$G$6</c:f>
              <c:strCache>
                <c:ptCount val="1"/>
                <c:pt idx="0">
                  <c:v>Projekttillæg- og OH-indt.</c:v>
                </c:pt>
              </c:strCache>
            </c:strRef>
          </c:tx>
          <c:spPr>
            <a:ln w="38100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Pivotdiagram!$G$7:$G$13</c:f>
              <c:numCache>
                <c:formatCode>0</c:formatCode>
                <c:ptCount val="7"/>
                <c:pt idx="0">
                  <c:v>100</c:v>
                </c:pt>
                <c:pt idx="1">
                  <c:v>134.9981007626468</c:v>
                </c:pt>
                <c:pt idx="2">
                  <c:v>249.13921197887365</c:v>
                </c:pt>
                <c:pt idx="3">
                  <c:v>272.81971937882344</c:v>
                </c:pt>
                <c:pt idx="4">
                  <c:v>272.07725668997165</c:v>
                </c:pt>
                <c:pt idx="5">
                  <c:v>271.34118026273859</c:v>
                </c:pt>
                <c:pt idx="6">
                  <c:v>261.10224341656749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B4DF-42AE-BF50-24AFABCC9BF9}"/>
            </c:ext>
          </c:extLst>
        </c:ser>
        <c:ser>
          <c:idx val="5"/>
          <c:order val="5"/>
          <c:tx>
            <c:strRef>
              <c:f>Pivotdiagram!$H$6</c:f>
              <c:strCache>
                <c:ptCount val="1"/>
                <c:pt idx="0">
                  <c:v>Øvrige salgsindtægter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Pivotdiagram!$H$7:$H$13</c:f>
              <c:numCache>
                <c:formatCode>0</c:formatCode>
                <c:ptCount val="7"/>
                <c:pt idx="0">
                  <c:v>100</c:v>
                </c:pt>
                <c:pt idx="1">
                  <c:v>56.2888505654198</c:v>
                </c:pt>
                <c:pt idx="2">
                  <c:v>61.323576461655612</c:v>
                </c:pt>
                <c:pt idx="3">
                  <c:v>61.683957588006969</c:v>
                </c:pt>
                <c:pt idx="4">
                  <c:v>53.076610237557929</c:v>
                </c:pt>
                <c:pt idx="5">
                  <c:v>52.948519088274473</c:v>
                </c:pt>
                <c:pt idx="6">
                  <c:v>52.822473028997678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4DF-42AE-BF50-24AFABCC9B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2923775"/>
        <c:axId val="582921375"/>
      </c:lineChart>
      <c:catAx>
        <c:axId val="582923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82921375"/>
        <c:crosses val="autoZero"/>
        <c:auto val="1"/>
        <c:lblAlgn val="ctr"/>
        <c:lblOffset val="100"/>
        <c:noMultiLvlLbl val="0"/>
      </c:catAx>
      <c:valAx>
        <c:axId val="582921375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82923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740628575274243"/>
          <c:y val="0.16764450585885535"/>
          <c:w val="0.1825937718309131"/>
          <c:h val="0.326697259151244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pivotSource>
    <c:name>[Indeksgrafer IFS DR4-5.xlsx]Pivotdiagram!Pivottabel1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450" b="1" baseline="0">
                <a:solidFill>
                  <a:sysClr val="windowText" lastClr="000000"/>
                </a:solidFill>
              </a:rPr>
              <a:t>Udvikling i udvalgte poster 2023-2029 med 2023 = indeks 100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 w="28575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spPr>
          <a:solidFill>
            <a:schemeClr val="accent1"/>
          </a:solidFill>
          <a:ln w="38100" cap="rnd">
            <a:solidFill>
              <a:schemeClr val="accent1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a-DK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3.539974847045451E-2"/>
          <c:y val="1.2559045498968403E-2"/>
          <c:w val="0.74250189507089948"/>
          <c:h val="0.86648451859512743"/>
        </c:manualLayout>
      </c:layout>
      <c:lineChart>
        <c:grouping val="standard"/>
        <c:varyColors val="0"/>
        <c:ser>
          <c:idx val="0"/>
          <c:order val="0"/>
          <c:tx>
            <c:strRef>
              <c:f>Pivotdiagram!$C$6</c:f>
              <c:strCache>
                <c:ptCount val="1"/>
                <c:pt idx="0">
                  <c:v>Driftsomkostninger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Pivotdiagram!$C$7:$C$13</c:f>
              <c:numCache>
                <c:formatCode>0</c:formatCode>
                <c:ptCount val="7"/>
                <c:pt idx="0">
                  <c:v>100</c:v>
                </c:pt>
                <c:pt idx="1">
                  <c:v>111.46430144100199</c:v>
                </c:pt>
                <c:pt idx="2">
                  <c:v>100.10372895588739</c:v>
                </c:pt>
                <c:pt idx="3">
                  <c:v>100.29981756790305</c:v>
                </c:pt>
                <c:pt idx="4">
                  <c:v>100.10372374062231</c:v>
                </c:pt>
                <c:pt idx="5">
                  <c:v>99.908060225164036</c:v>
                </c:pt>
                <c:pt idx="6">
                  <c:v>99.712667114403772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B9C-4090-8FB8-F3D937AA88A7}"/>
            </c:ext>
          </c:extLst>
        </c:ser>
        <c:ser>
          <c:idx val="1"/>
          <c:order val="1"/>
          <c:tx>
            <c:strRef>
              <c:f>Pivotdiagram!$D$6</c:f>
              <c:strCache>
                <c:ptCount val="1"/>
                <c:pt idx="0">
                  <c:v>Eksterne tilskud</c:v>
                </c:pt>
              </c:strCache>
            </c:strRef>
          </c:tx>
          <c:spPr>
            <a:ln w="3810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Pivotdiagram!$D$7:$D$13</c:f>
              <c:numCache>
                <c:formatCode>0</c:formatCode>
                <c:ptCount val="7"/>
                <c:pt idx="0">
                  <c:v>100</c:v>
                </c:pt>
                <c:pt idx="1">
                  <c:v>126.48228949258329</c:v>
                </c:pt>
                <c:pt idx="2">
                  <c:v>193.36417968326566</c:v>
                </c:pt>
                <c:pt idx="3">
                  <c:v>195.3430269540201</c:v>
                </c:pt>
                <c:pt idx="4">
                  <c:v>196.00230899197322</c:v>
                </c:pt>
                <c:pt idx="5">
                  <c:v>195.53318781167187</c:v>
                </c:pt>
                <c:pt idx="6">
                  <c:v>194.20454639591054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B9C-4090-8FB8-F3D937AA88A7}"/>
            </c:ext>
          </c:extLst>
        </c:ser>
        <c:ser>
          <c:idx val="2"/>
          <c:order val="2"/>
          <c:tx>
            <c:strRef>
              <c:f>Pivotdiagram!$E$6</c:f>
              <c:strCache>
                <c:ptCount val="1"/>
                <c:pt idx="0">
                  <c:v>Løn</c:v>
                </c:pt>
              </c:strCache>
            </c:strRef>
          </c:tx>
          <c:spPr>
            <a:ln w="3810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Pivotdiagram!$E$7:$E$13</c:f>
              <c:numCache>
                <c:formatCode>0</c:formatCode>
                <c:ptCount val="7"/>
                <c:pt idx="0">
                  <c:v>100</c:v>
                </c:pt>
                <c:pt idx="1">
                  <c:v>133.45252969299744</c:v>
                </c:pt>
                <c:pt idx="2">
                  <c:v>231.97333340278857</c:v>
                </c:pt>
                <c:pt idx="3">
                  <c:v>232.43237546975539</c:v>
                </c:pt>
                <c:pt idx="4">
                  <c:v>231.97792340347493</c:v>
                </c:pt>
                <c:pt idx="5">
                  <c:v>231.52450890600483</c:v>
                </c:pt>
                <c:pt idx="6">
                  <c:v>231.07169341723414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B9C-4090-8FB8-F3D937AA88A7}"/>
            </c:ext>
          </c:extLst>
        </c:ser>
        <c:ser>
          <c:idx val="3"/>
          <c:order val="3"/>
          <c:tx>
            <c:strRef>
              <c:f>Pivotdiagram!$F$6</c:f>
              <c:strCache>
                <c:ptCount val="1"/>
                <c:pt idx="0">
                  <c:v>Projekttillæg- og OH-udg.</c:v>
                </c:pt>
              </c:strCache>
            </c:strRef>
          </c:tx>
          <c:spPr>
            <a:ln w="3810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Pivotdiagram!$B$7:$B$13</c:f>
              <c:strCache>
                <c:ptCount val="7"/>
                <c:pt idx="0">
                  <c:v>R23 </c:v>
                </c:pt>
                <c:pt idx="1">
                  <c:v>R24 </c:v>
                </c:pt>
                <c:pt idx="2">
                  <c:v>ØR3 </c:v>
                </c:pt>
                <c:pt idx="3">
                  <c:v>B26 </c:v>
                </c:pt>
                <c:pt idx="4">
                  <c:v>B26('27) </c:v>
                </c:pt>
                <c:pt idx="5">
                  <c:v>B26('28) </c:v>
                </c:pt>
                <c:pt idx="6">
                  <c:v>B26('29) </c:v>
                </c:pt>
              </c:strCache>
            </c:strRef>
          </c:cat>
          <c:val>
            <c:numRef>
              <c:f>Pivotdiagram!$F$7:$F$13</c:f>
              <c:numCache>
                <c:formatCode>0</c:formatCode>
                <c:ptCount val="7"/>
                <c:pt idx="0">
                  <c:v>100</c:v>
                </c:pt>
                <c:pt idx="1">
                  <c:v>134.9981007626468</c:v>
                </c:pt>
                <c:pt idx="2">
                  <c:v>240.1977094340825</c:v>
                </c:pt>
                <c:pt idx="3">
                  <c:v>261.10806143191911</c:v>
                </c:pt>
                <c:pt idx="4">
                  <c:v>272.07725667560015</c:v>
                </c:pt>
                <c:pt idx="5">
                  <c:v>271.3411802598643</c:v>
                </c:pt>
                <c:pt idx="6">
                  <c:v>261.10223804734767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B9C-4090-8FB8-F3D937AA88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2923775"/>
        <c:axId val="582921375"/>
      </c:lineChart>
      <c:catAx>
        <c:axId val="582923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82921375"/>
        <c:crosses val="autoZero"/>
        <c:auto val="1"/>
        <c:lblAlgn val="ctr"/>
        <c:lblOffset val="100"/>
        <c:noMultiLvlLbl val="0"/>
      </c:catAx>
      <c:valAx>
        <c:axId val="582921375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a-DK"/>
          </a:p>
        </c:txPr>
        <c:crossAx val="5829237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740628575274243"/>
          <c:y val="0.16764450585885535"/>
          <c:w val="0.1825937718309131"/>
          <c:h val="0.326697259151244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da-DK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88FCA-A2A9-4212-AABF-BC9E1D403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726</Words>
  <Characters>4431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Kvartalsopfølgning for 4</vt:lpstr>
      <vt:lpstr>Kvartalsopfølgning for 4</vt:lpstr>
    </vt:vector>
  </TitlesOfParts>
  <Company>Aarhus Universitet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Kvartalsopfølgning for 4</dc:title>
  <dc:subject/>
  <dc:creator>René Sørensen</dc:creator>
  <cp:keywords/>
  <cp:lastModifiedBy>Nicoline Dalsgaard</cp:lastModifiedBy>
  <cp:revision>2</cp:revision>
  <cp:lastPrinted>2016-09-16T11:40:00Z</cp:lastPrinted>
  <dcterms:created xsi:type="dcterms:W3CDTF">2025-12-01T13:20:00Z</dcterms:created>
  <dcterms:modified xsi:type="dcterms:W3CDTF">2025-12-01T13:20:00Z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Logo">
    <vt:lpwstr>Yes</vt:lpwstr>
  </property>
  <property fmtid="{D5CDD505-2E9C-101B-9397-08002B2CF9AE}" pid="3" name="SD_DocumentLanguage">
    <vt:lpwstr>da-DK</vt:lpwstr>
  </property>
  <property fmtid="{D5CDD505-2E9C-101B-9397-08002B2CF9AE}" pid="4" name="ContentRemapped">
    <vt:lpwstr>true</vt:lpwstr>
  </property>
</Properties>
</file>